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8d7002ae219497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17249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INDUSTRIJSKO-OBRTNIČKA ŠKOLA PULA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296.982,99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335.172,05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370.601,57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327.075,39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8.096,66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7.473,66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Manjak prihoda i primitaka za pokriće u slijedećem razdoblju iznosi 38.323,40 eura i sastoji se od viška ostvarenog u razdoblju od 01.01.2026. do 31.03.2026. u iznosu od 7.473,66 eura i manjka od predhodne godine 45.797,06 eura. Navedeni manjak na dan 31.03.2026. sastoji se od slijedećih izvora financiranja: </w:t>
      </w:r>
    </w:p>
    <w:p>
      <w:r>
        <w:t xml:space="preserve">- 1.1.001 nenamjenski prihodi i primici: manjak od 7.850,52</w:t>
      </w:r>
    </w:p>
    <w:p>
      <w:r>
        <w:t xml:space="preserve">- 3.1.400 vlastiti prihodi srednjih škola: višak od 28.814,48</w:t>
      </w:r>
    </w:p>
    <w:p>
      <w:r>
        <w:t xml:space="preserve">- 4.3.400 prihodi za posebne namjene za srednje škole: višak od 204,00</w:t>
      </w:r>
    </w:p>
    <w:p>
      <w:r>
        <w:t xml:space="preserve">- 4.8.007 decentralizirana sredstva za srednje škole: manjak od 6.695,69</w:t>
      </w:r>
    </w:p>
    <w:p>
      <w:r>
        <w:t xml:space="preserve">- 5.0.182 Ministarstvi znanosti i obrazovanja za proračunske korisnike: manjak od 88.179,68</w:t>
      </w:r>
    </w:p>
    <w:p>
      <w:r>
        <w:t xml:space="preserve">- 5.2.520 Grad Pula za proračunske korisnike: višak od 5.242,93</w:t>
      </w:r>
    </w:p>
    <w:p>
      <w:r>
        <w:t xml:space="preserve">- 5.6.100 Prihodi za EU projekte SEF+: višak od 71,08</w:t>
      </w:r>
    </w:p>
    <w:p>
      <w:r>
        <w:t xml:space="preserve">- 6.1.400 Donacije za srednje škole: višak od 30.070,00</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264.785,80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273.974,06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w:t>
            </w:r>
          </w:p>
        </w:tc>
      </w:tr>
    </w:tbl>
    <w:p>
      <w:pPr>
        <w:spacing w:before="0" w:after="0"/>
      </w:pPr>
    </w:p>
    <w:p>
      <w:r>
        <w:t xml:space="preserve">U proteklom izvještajnom razdoblju tekuće pomoći iz proračuna koji nam nije nadležan povećane su za 3,5% zato što je od 1.9.2025. godine osnovica povećana sa 975,60 na 1.004,87 eura bruto.</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Tekuće prijenosi između proračunskih korisnika istog proračuna temeljem prijenosa EU sredstava odnosi se na projekt Istarske županije za osiguravanje pomoćnika u nastavi i stručnih komunikacijskih posrednika učenicima s teškoćama u razvoju od čega se veći dio sufinancira iz Europskog socijalnog fonda plus (561). U našoj školi taj projekat započeo je sa školskom godinom 2025./2026. pa zbog toga nema ostvarenja u proteklom razdoblju.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Ostali nespomenuti prihodi po posebnim propisima odnose se na izdavanje duplikata svjedodžbi s čijom naplatom smo započeli u aprilu 2025. godine.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390,4</w:t>
            </w:r>
          </w:p>
        </w:tc>
      </w:tr>
    </w:tbl>
    <w:p>
      <w:pPr>
        <w:spacing w:before="0" w:after="0"/>
      </w:pPr>
    </w:p>
    <w:p>
      <w:r>
        <w:t xml:space="preserve">Prihodi od prodaje proizvoda i robe te pruženih usluga povećani su višestruko u odnosu na prošlu godinu i to zbog povećanog interesa za obrazovanje odraslih - nastavak školovanja te prekvalifikacije.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ovom kvartalu nismo imali prihodi od donacija za razliku od proteklog razdoblja.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28.134,65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44.788,89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159,2</w:t>
            </w:r>
          </w:p>
        </w:tc>
      </w:tr>
    </w:tbl>
    <w:p>
      <w:pPr>
        <w:spacing w:before="0" w:after="0"/>
      </w:pPr>
    </w:p>
    <w:p>
      <w:r>
        <w:t xml:space="preserve">Prihodi od Istarske županije povećani su za 59,2% zato što su u ovom kvartalu evidentirani prihodi koji se odnose na plaćanje obveza prethodne godine budući da je Istarska županija bila meta ozbiljnog kibernetičkog napada od 1. prosinca 2025. pa se podmirivanje obveza vršilo u manjem obimu.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329.337,72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287.002,08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w:t>
            </w:r>
          </w:p>
        </w:tc>
      </w:tr>
    </w:tbl>
    <w:p>
      <w:pPr>
        <w:spacing w:before="0" w:after="0"/>
      </w:pPr>
    </w:p>
    <w:p>
      <w:r>
        <w:t xml:space="preserve">Plaće i ostali rashodi za zaposlene smanjeni su za 12,9% zbog primjene novog Pravilnika o proračunskom računovodstvu i računskom planu kojim je ukinuta podskupina računa 193 Kontinuirani rashodi budućih razdoblja i zato je u prošlom obračunskom razdoblju evidentirana i plaća za 03/2025. godine.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366,2</w:t>
            </w:r>
          </w:p>
        </w:tc>
      </w:tr>
    </w:tbl>
    <w:p>
      <w:pPr>
        <w:spacing w:before="0" w:after="0"/>
      </w:pPr>
    </w:p>
    <w:p>
      <w:r>
        <w:t xml:space="preserve">Naknade troškova zaposlenima za službena putovanja višestruko su povećana zbog isplate inozemne dnevnice radi odlaska na ekskurziju u inozemstvo.</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Kod ostalih financijskih rashodau ovom obračunskom razdoblju nije bilo izdataka zato što je žiro-račun škole ukinut i sredstva su prenesena na jedinstveni račun lokalne riznice.</w:t>
      </w:r>
    </w:p>
    <w:p/>
    <w:p>
      <w:pPr>
        <w:jc w:val="center"/>
        <w:pStyle w:val="Normal"/>
        <w:spacing w:line="240" w:lineRule="auto"/>
        <w:keepNext/>
      </w:pPr>
      <w:r>
        <w:rPr>
          <w:sz w:val="28"/>
          <w:rFonts w:ascii="Times New Roman" w:hAnsi="Times New Roman"/>
        </w:rPr>
        <w:t xml:space="preserve">Bilješka 11.</w:t>
      </w:r>
    </w:p>
    <w:p>
      <w:pPr>
        <w:jc w:val="both"/>
        <w:pStyle w:val="Normal"/>
        <w:spacing w:line="240" w:lineRule="auto"/>
      </w:pPr>
      <w:r>
        <w:rPr>
          <w:b/>
          <w:sz w:val="24"/>
          <w:rFonts w:ascii="Times New Roman" w:hAnsi="Times New Roman"/>
        </w:rPr>
        <w:t xml:space="preserve">EU izvještaj</w:t>
      </w:r>
    </w:p>
    <w:p>
      <w:r>
        <w:t xml:space="preserve">Ovaj EU izvještaj odnosi se na projekt Istarske županije za osiguravanje pomoćnika u nastavi i stručnih komunikacijskih posrednika učenicima s teškoćama u razvoju od čega se veći dio sufinancira iz Europskog socijalnog fonda plus (561). U našoj školi taj projekat započeo je sa školskom godinom 2025./2026. pa zbog toga nema ostvarenja u proteklom razdoblju.</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ca187c38de54b1c" /></Relationships>
</file>