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ED" w:rsidRPr="00B661CB" w:rsidRDefault="00D73AED" w:rsidP="00D73AED">
      <w:r w:rsidRPr="00B661CB">
        <w:t xml:space="preserve">                  </w:t>
      </w:r>
      <w:r w:rsidRPr="00B661CB">
        <w:rPr>
          <w:noProof/>
        </w:rPr>
        <w:drawing>
          <wp:inline distT="0" distB="0" distL="0" distR="0" wp14:anchorId="088FABB0" wp14:editId="0ABA3A49">
            <wp:extent cx="259080" cy="335280"/>
            <wp:effectExtent l="0" t="0" r="7620" b="7620"/>
            <wp:docPr id="1" name="Slika 1" descr="grb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2.bmp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1CB">
        <w:t xml:space="preserve">                                                                                       </w:t>
      </w:r>
    </w:p>
    <w:p w:rsidR="00D73AED" w:rsidRPr="00B661CB" w:rsidRDefault="00D73AED" w:rsidP="00D73AED">
      <w:r w:rsidRPr="00B661CB">
        <w:t>REPUBLIKA HRVATSKA</w:t>
      </w:r>
    </w:p>
    <w:p w:rsidR="00D73AED" w:rsidRPr="00B661CB" w:rsidRDefault="00D73AED" w:rsidP="00D73AED">
      <w:r w:rsidRPr="00B661CB">
        <w:t>ŽUPANIJA ISTARSKA</w:t>
      </w:r>
    </w:p>
    <w:p w:rsidR="00D73AED" w:rsidRPr="00B661CB" w:rsidRDefault="00D73AED" w:rsidP="00D73AED">
      <w:r w:rsidRPr="00B661CB">
        <w:t>INDUSTRIJSKO - OBRTNIČKA ŠKOLA PULA</w:t>
      </w:r>
    </w:p>
    <w:p w:rsidR="00D73AED" w:rsidRPr="00B661CB" w:rsidRDefault="00D73AED" w:rsidP="00D73AED">
      <w:r w:rsidRPr="00B661CB">
        <w:t>Rizzijeva 40, 52100 Pula</w:t>
      </w:r>
    </w:p>
    <w:p w:rsidR="00D73AED" w:rsidRPr="00B661CB" w:rsidRDefault="00D73AED" w:rsidP="00D73AED">
      <w:r w:rsidRPr="00B661CB">
        <w:t>OIB: 21765234516; MB:0129364</w:t>
      </w:r>
    </w:p>
    <w:p w:rsidR="00D73AED" w:rsidRPr="00B661CB" w:rsidRDefault="00D73AED" w:rsidP="00D73AED">
      <w:r w:rsidRPr="00B661CB">
        <w:t>Tel: 052/216-121; Faks: 052/216-124</w:t>
      </w:r>
    </w:p>
    <w:p w:rsidR="00D73AED" w:rsidRPr="00B661CB" w:rsidRDefault="00D73AED" w:rsidP="00D73AED">
      <w:r w:rsidRPr="00B661CB">
        <w:rPr>
          <w:spacing w:val="20"/>
        </w:rPr>
        <w:t>E-mail:</w:t>
      </w:r>
      <w:r w:rsidRPr="00B661CB">
        <w:t>ios.pula@skole.hr</w:t>
      </w:r>
    </w:p>
    <w:p w:rsidR="006D1960" w:rsidRPr="00382236" w:rsidRDefault="006D1960" w:rsidP="006D1960">
      <w:r w:rsidRPr="00382236">
        <w:t>KLASA: 400-02/2</w:t>
      </w:r>
      <w:r>
        <w:t>6</w:t>
      </w:r>
      <w:r w:rsidRPr="00382236">
        <w:t>-01/</w:t>
      </w:r>
      <w:r>
        <w:t>0</w:t>
      </w:r>
      <w:r w:rsidR="0094641C">
        <w:t>2</w:t>
      </w:r>
      <w:bookmarkStart w:id="0" w:name="_GoBack"/>
      <w:bookmarkEnd w:id="0"/>
    </w:p>
    <w:p w:rsidR="006D1960" w:rsidRPr="00382236" w:rsidRDefault="006D1960" w:rsidP="006D1960">
      <w:r w:rsidRPr="00382236">
        <w:t>URBROJ: 2168-22-2</w:t>
      </w:r>
      <w:r>
        <w:t>6</w:t>
      </w:r>
      <w:r w:rsidRPr="00382236">
        <w:t>-</w:t>
      </w:r>
      <w:r>
        <w:t>01</w:t>
      </w:r>
    </w:p>
    <w:p w:rsidR="006D1960" w:rsidRPr="00382236" w:rsidRDefault="006D1960" w:rsidP="006D1960">
      <w:r w:rsidRPr="00382236">
        <w:t xml:space="preserve">Pula, </w:t>
      </w:r>
      <w:r>
        <w:t>31</w:t>
      </w:r>
      <w:r w:rsidRPr="00382236">
        <w:t xml:space="preserve">. </w:t>
      </w:r>
      <w:r>
        <w:t xml:space="preserve">ožujka </w:t>
      </w:r>
      <w:r w:rsidRPr="00382236">
        <w:t>202</w:t>
      </w:r>
      <w:r>
        <w:t>6</w:t>
      </w:r>
      <w:r w:rsidRPr="00382236">
        <w:t>. godine</w:t>
      </w:r>
    </w:p>
    <w:p w:rsidR="0077052E" w:rsidRDefault="0077052E" w:rsidP="00D73AED"/>
    <w:p w:rsidR="0077052E" w:rsidRPr="00B661CB" w:rsidRDefault="0077052E" w:rsidP="00D73AED"/>
    <w:p w:rsidR="00D144EE" w:rsidRPr="00B661CB" w:rsidRDefault="00D144EE" w:rsidP="00D73AED"/>
    <w:p w:rsidR="00D73AED" w:rsidRPr="00B661CB" w:rsidRDefault="008B36CA" w:rsidP="00D73AE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661CB">
        <w:rPr>
          <w:rFonts w:eastAsia="Calibri"/>
          <w:b/>
          <w:sz w:val="28"/>
          <w:szCs w:val="28"/>
          <w:lang w:eastAsia="en-US"/>
        </w:rPr>
        <w:t>OBRAZLOŽENJE IZVRŠENJA FINANCIJSKOG PLANA</w:t>
      </w:r>
    </w:p>
    <w:p w:rsidR="008B36CA" w:rsidRPr="00B661CB" w:rsidRDefault="008B36CA" w:rsidP="00D73AE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661CB">
        <w:rPr>
          <w:rFonts w:eastAsia="Calibri"/>
          <w:b/>
          <w:sz w:val="28"/>
          <w:szCs w:val="28"/>
          <w:lang w:eastAsia="en-US"/>
        </w:rPr>
        <w:t>ZA 01-</w:t>
      </w:r>
      <w:r w:rsidR="002D0647">
        <w:rPr>
          <w:rFonts w:eastAsia="Calibri"/>
          <w:b/>
          <w:sz w:val="28"/>
          <w:szCs w:val="28"/>
          <w:lang w:eastAsia="en-US"/>
        </w:rPr>
        <w:t>12</w:t>
      </w:r>
      <w:r w:rsidRPr="00B661CB">
        <w:rPr>
          <w:rFonts w:eastAsia="Calibri"/>
          <w:b/>
          <w:sz w:val="28"/>
          <w:szCs w:val="28"/>
          <w:lang w:eastAsia="en-US"/>
        </w:rPr>
        <w:t>/202</w:t>
      </w:r>
      <w:r w:rsidR="00A31604" w:rsidRPr="00B661CB">
        <w:rPr>
          <w:rFonts w:eastAsia="Calibri"/>
          <w:b/>
          <w:sz w:val="28"/>
          <w:szCs w:val="28"/>
          <w:lang w:eastAsia="en-US"/>
        </w:rPr>
        <w:t>5</w:t>
      </w:r>
      <w:r w:rsidRPr="00B661CB">
        <w:rPr>
          <w:rFonts w:eastAsia="Calibri"/>
          <w:b/>
          <w:sz w:val="28"/>
          <w:szCs w:val="28"/>
          <w:lang w:eastAsia="en-US"/>
        </w:rPr>
        <w:t>. GODINE</w:t>
      </w:r>
    </w:p>
    <w:p w:rsidR="007476D9" w:rsidRPr="00B661CB" w:rsidRDefault="007476D9" w:rsidP="00D73AED"/>
    <w:p w:rsidR="007476D9" w:rsidRPr="00B661CB" w:rsidRDefault="007476D9" w:rsidP="00D73AED">
      <w:r w:rsidRPr="00B661CB">
        <w:t>Industrijsko-obrtnička škola, Pula osnovana je s ciljem srednjoškolskog obrazovanja učenika za stjecanje srednje stručne spreme. Sjedište škole je u Puli, Rizzijeva 40. Škola je opremljena praktikumima, odnosno specijaliziranim učionicama za izvođenje nastave za industrijska i obrtnička zanimanja u oblasti strojarstva, elektrotehnike, graditeljstva i ostalih usluga. U školskoj godini 202</w:t>
      </w:r>
      <w:r w:rsidR="00A31604" w:rsidRPr="00B661CB">
        <w:t>4</w:t>
      </w:r>
      <w:r w:rsidRPr="00B661CB">
        <w:t>./202</w:t>
      </w:r>
      <w:r w:rsidR="00A31604" w:rsidRPr="00B661CB">
        <w:t>5</w:t>
      </w:r>
      <w:r w:rsidRPr="00B661CB">
        <w:t>. upisano je 2</w:t>
      </w:r>
      <w:r w:rsidR="00A31604" w:rsidRPr="00B661CB">
        <w:t>57</w:t>
      </w:r>
      <w:r w:rsidRPr="00B661CB">
        <w:t xml:space="preserve"> učenik</w:t>
      </w:r>
      <w:r w:rsidR="00A31604" w:rsidRPr="00B661CB">
        <w:t>a</w:t>
      </w:r>
      <w:r w:rsidRPr="00B661CB">
        <w:t xml:space="preserve"> u </w:t>
      </w:r>
      <w:r w:rsidR="008B36CA" w:rsidRPr="00B661CB">
        <w:t>1</w:t>
      </w:r>
      <w:r w:rsidR="00A31604" w:rsidRPr="00B661CB">
        <w:t>1</w:t>
      </w:r>
      <w:r w:rsidRPr="00B661CB">
        <w:t xml:space="preserve"> razrednih odjela. U Školi je zaposleno </w:t>
      </w:r>
      <w:r w:rsidR="00B169E8">
        <w:t>41</w:t>
      </w:r>
      <w:r w:rsidRPr="00B661CB">
        <w:t xml:space="preserve"> radnik</w:t>
      </w:r>
      <w:r w:rsidR="00A31604" w:rsidRPr="00B661CB">
        <w:t xml:space="preserve"> od čega 1</w:t>
      </w:r>
      <w:r w:rsidR="00B169E8">
        <w:t>1</w:t>
      </w:r>
      <w:r w:rsidR="00A31604" w:rsidRPr="00B661CB">
        <w:t xml:space="preserve"> radi u nepunom radnom vremenu, dva vanjska suradnika te </w:t>
      </w:r>
      <w:r w:rsidR="00B169E8">
        <w:t>četiri</w:t>
      </w:r>
      <w:r w:rsidR="00A31604" w:rsidRPr="00B661CB">
        <w:t xml:space="preserve"> pomoćnika u nastavi</w:t>
      </w:r>
      <w:r w:rsidRPr="00B661CB">
        <w:t>. Redovna i dopunska nastava se odvija u jutarnjoj smjeni dok se u popodnevnim satima prostorije Škole (učionice i sportska dvorana) iznajmljuju te se na taj način ostvaruju vlastiti prihodi. Nastava se izvodi prema nastavnim planovima i programima koje je donijelo Ministarstvo znanosti i obrazovanja, operativnom Godišnjem izvedbenom odgojno-obrazovnom planu i programu rada te Školskom kurikulumu za školsku godinu 202</w:t>
      </w:r>
      <w:r w:rsidR="00A31604" w:rsidRPr="00B661CB">
        <w:t>4</w:t>
      </w:r>
      <w:r w:rsidRPr="00B661CB">
        <w:t>./202</w:t>
      </w:r>
      <w:r w:rsidR="00A31604" w:rsidRPr="00B661CB">
        <w:t>5</w:t>
      </w:r>
      <w:r w:rsidRPr="00B661CB">
        <w:t>.</w:t>
      </w:r>
    </w:p>
    <w:p w:rsidR="007476D9" w:rsidRPr="00B661CB" w:rsidRDefault="007476D9" w:rsidP="00D73AED"/>
    <w:p w:rsidR="00F646CD" w:rsidRPr="00B661CB" w:rsidRDefault="007476D9" w:rsidP="00D73AED">
      <w:pPr>
        <w:rPr>
          <w:rFonts w:eastAsia="Calibri"/>
          <w:b/>
          <w:lang w:eastAsia="en-US"/>
        </w:rPr>
      </w:pPr>
      <w:r w:rsidRPr="00B661CB">
        <w:rPr>
          <w:rFonts w:eastAsia="Calibri"/>
          <w:b/>
          <w:lang w:eastAsia="en-US"/>
        </w:rPr>
        <w:t xml:space="preserve">OBRAZLOŽENJE </w:t>
      </w:r>
      <w:r w:rsidR="00F646CD" w:rsidRPr="00B661CB">
        <w:rPr>
          <w:rFonts w:eastAsia="Calibri"/>
          <w:b/>
          <w:lang w:eastAsia="en-US"/>
        </w:rPr>
        <w:t>OSTVARENJ</w:t>
      </w:r>
      <w:r w:rsidR="00D73AED" w:rsidRPr="00B661CB">
        <w:rPr>
          <w:rFonts w:eastAsia="Calibri"/>
          <w:b/>
          <w:lang w:eastAsia="en-US"/>
        </w:rPr>
        <w:t>A</w:t>
      </w:r>
      <w:r w:rsidR="00F646CD" w:rsidRPr="00B661CB">
        <w:rPr>
          <w:rFonts w:eastAsia="Calibri"/>
          <w:b/>
          <w:lang w:eastAsia="en-US"/>
        </w:rPr>
        <w:t xml:space="preserve"> PRIHODA I RASHODA</w:t>
      </w:r>
    </w:p>
    <w:p w:rsidR="00F646CD" w:rsidRPr="00B661CB" w:rsidRDefault="00F646CD" w:rsidP="00D73AED"/>
    <w:p w:rsidR="007476D9" w:rsidRPr="00B661CB" w:rsidRDefault="007476D9" w:rsidP="00D73AED">
      <w:r w:rsidRPr="00B661CB">
        <w:t>Ukupno ostvareni prihodi za 1-</w:t>
      </w:r>
      <w:r w:rsidR="00B169E8">
        <w:t>12</w:t>
      </w:r>
      <w:r w:rsidRPr="00B661CB">
        <w:t>/202</w:t>
      </w:r>
      <w:r w:rsidR="00E720C6" w:rsidRPr="00B661CB">
        <w:t>5</w:t>
      </w:r>
      <w:r w:rsidRPr="00B661CB">
        <w:t xml:space="preserve">. godine iznose </w:t>
      </w:r>
      <w:r w:rsidR="00B169E8">
        <w:t>1.21</w:t>
      </w:r>
      <w:r w:rsidR="008B36CA" w:rsidRPr="00B661CB">
        <w:t>5</w:t>
      </w:r>
      <w:r w:rsidRPr="00B661CB">
        <w:t>.</w:t>
      </w:r>
      <w:r w:rsidR="00B169E8">
        <w:t>198</w:t>
      </w:r>
      <w:r w:rsidRPr="00B661CB">
        <w:t>,</w:t>
      </w:r>
      <w:r w:rsidR="00B169E8">
        <w:t>63</w:t>
      </w:r>
      <w:r w:rsidR="008B36CA" w:rsidRPr="00B661CB">
        <w:t xml:space="preserve"> eura </w:t>
      </w:r>
      <w:r w:rsidRPr="00B661CB">
        <w:t xml:space="preserve">a </w:t>
      </w:r>
      <w:r w:rsidR="00430281" w:rsidRPr="00B661CB">
        <w:t>dobiveni su</w:t>
      </w:r>
      <w:r w:rsidRPr="00B661CB">
        <w:t>:</w:t>
      </w:r>
    </w:p>
    <w:p w:rsidR="007476D9" w:rsidRPr="00B661CB" w:rsidRDefault="007476D9" w:rsidP="00D73AED">
      <w:pPr>
        <w:numPr>
          <w:ilvl w:val="0"/>
          <w:numId w:val="1"/>
        </w:numPr>
      </w:pPr>
      <w:r w:rsidRPr="00B661CB">
        <w:t>od MZO</w:t>
      </w:r>
      <w:r w:rsidR="005462FB" w:rsidRPr="00B661CB">
        <w:t>M</w:t>
      </w:r>
      <w:r w:rsidRPr="00B661CB">
        <w:t xml:space="preserve"> za plaće zaposlenima te</w:t>
      </w:r>
      <w:r w:rsidR="005462FB" w:rsidRPr="00B661CB">
        <w:t xml:space="preserve"> za ostale rashode za zaposlene</w:t>
      </w:r>
      <w:r w:rsidR="000D6FB7">
        <w:tab/>
        <w:t xml:space="preserve">         </w:t>
      </w:r>
      <w:r w:rsidR="00B169E8">
        <w:t>1.</w:t>
      </w:r>
      <w:r w:rsidR="00E720C6" w:rsidRPr="00B661CB">
        <w:t>0</w:t>
      </w:r>
      <w:r w:rsidR="00B169E8">
        <w:t>31</w:t>
      </w:r>
      <w:r w:rsidRPr="00B661CB">
        <w:t>.</w:t>
      </w:r>
      <w:r w:rsidR="00B169E8">
        <w:t>003</w:t>
      </w:r>
      <w:r w:rsidRPr="00B661CB">
        <w:t>,</w:t>
      </w:r>
      <w:r w:rsidR="00E720C6" w:rsidRPr="00B661CB">
        <w:t>6</w:t>
      </w:r>
      <w:r w:rsidR="00B169E8">
        <w:t>3</w:t>
      </w:r>
    </w:p>
    <w:p w:rsidR="000D6FB7" w:rsidRDefault="00E720C6" w:rsidP="00E720C6">
      <w:pPr>
        <w:pStyle w:val="Odlomakpopisa"/>
        <w:numPr>
          <w:ilvl w:val="0"/>
          <w:numId w:val="1"/>
        </w:numPr>
      </w:pPr>
      <w:r w:rsidRPr="00B661CB">
        <w:t>od MZOM za dijagnostičke instrumente i izvanučioničku nastavu</w:t>
      </w:r>
      <w:r w:rsidR="00B169E8">
        <w:t>,</w:t>
      </w:r>
    </w:p>
    <w:p w:rsidR="00E720C6" w:rsidRPr="00B661CB" w:rsidRDefault="00B169E8" w:rsidP="000D6FB7">
      <w:pPr>
        <w:pStyle w:val="Odlomakpopisa"/>
      </w:pPr>
      <w:r>
        <w:t>državno natjecanje,</w:t>
      </w:r>
      <w:r w:rsidR="00D03149">
        <w:t xml:space="preserve"> </w:t>
      </w:r>
      <w:r>
        <w:t>preventivne programe i nabavku knjiga</w:t>
      </w:r>
      <w:r>
        <w:tab/>
      </w:r>
      <w:r w:rsidR="00E720C6" w:rsidRPr="00B661CB">
        <w:tab/>
        <w:t xml:space="preserve">    </w:t>
      </w:r>
      <w:r>
        <w:t>7</w:t>
      </w:r>
      <w:r w:rsidR="00E720C6" w:rsidRPr="00B661CB">
        <w:t>.6</w:t>
      </w:r>
      <w:r w:rsidR="000D6FB7">
        <w:t>10</w:t>
      </w:r>
      <w:r w:rsidR="00E720C6" w:rsidRPr="00B661CB">
        <w:t>,</w:t>
      </w:r>
      <w:r>
        <w:t>40</w:t>
      </w:r>
    </w:p>
    <w:p w:rsidR="00E720C6" w:rsidRPr="00B661CB" w:rsidRDefault="00E720C6" w:rsidP="00E720C6">
      <w:pPr>
        <w:pStyle w:val="Odlomakpopisa"/>
        <w:numPr>
          <w:ilvl w:val="0"/>
          <w:numId w:val="1"/>
        </w:numPr>
      </w:pPr>
      <w:r w:rsidRPr="00B661CB">
        <w:t xml:space="preserve">od MROSP za nabavku </w:t>
      </w:r>
      <w:r w:rsidR="00D03149">
        <w:t>higijenskih</w:t>
      </w:r>
      <w:r w:rsidR="004803EC">
        <w:t xml:space="preserve"> </w:t>
      </w:r>
      <w:r w:rsidRPr="00B661CB">
        <w:t xml:space="preserve"> potrepština</w:t>
      </w:r>
      <w:r w:rsidRPr="00B661CB">
        <w:tab/>
      </w:r>
      <w:r w:rsidRPr="00B661CB">
        <w:tab/>
      </w:r>
      <w:r w:rsidRPr="00B661CB">
        <w:tab/>
        <w:t xml:space="preserve">   </w:t>
      </w:r>
      <w:r w:rsidRPr="00B661CB">
        <w:tab/>
        <w:t xml:space="preserve">           9,00</w:t>
      </w:r>
    </w:p>
    <w:p w:rsidR="00E720C6" w:rsidRPr="00B661CB" w:rsidRDefault="00E720C6" w:rsidP="00D73AED">
      <w:pPr>
        <w:pStyle w:val="Odlomakpopisa"/>
        <w:numPr>
          <w:ilvl w:val="0"/>
          <w:numId w:val="1"/>
        </w:numPr>
      </w:pPr>
      <w:r w:rsidRPr="00B661CB">
        <w:t>od Grada Pule za poticanje energetske učinkovitosti</w:t>
      </w:r>
      <w:r w:rsidRPr="00B661CB">
        <w:tab/>
      </w:r>
      <w:r w:rsidRPr="00B661CB">
        <w:tab/>
      </w:r>
      <w:r w:rsidRPr="00B661CB">
        <w:rPr>
          <w:u w:val="single"/>
        </w:rPr>
        <w:t xml:space="preserve">              17.500,00</w:t>
      </w:r>
    </w:p>
    <w:p w:rsidR="00865F54" w:rsidRPr="00B661CB" w:rsidRDefault="00865F54" w:rsidP="00865F54">
      <w:pPr>
        <w:pStyle w:val="Odlomakpopisa"/>
        <w:ind w:left="4956" w:firstLine="708"/>
      </w:pPr>
      <w:r w:rsidRPr="00B661CB">
        <w:t xml:space="preserve">   ukupno 63</w:t>
      </w:r>
      <w:r w:rsidR="006171B8" w:rsidRPr="00B661CB">
        <w:t>6</w:t>
      </w:r>
      <w:r w:rsidRPr="00B661CB">
        <w:t xml:space="preserve"> =    </w:t>
      </w:r>
      <w:r w:rsidR="000D6FB7">
        <w:t xml:space="preserve">  </w:t>
      </w:r>
      <w:r w:rsidRPr="00B661CB">
        <w:t xml:space="preserve"> </w:t>
      </w:r>
      <w:r w:rsidR="00B169E8">
        <w:t>1.056.123</w:t>
      </w:r>
      <w:r w:rsidRPr="00B661CB">
        <w:t>,</w:t>
      </w:r>
      <w:r w:rsidR="00B169E8">
        <w:t>03</w:t>
      </w:r>
    </w:p>
    <w:p w:rsidR="005462FB" w:rsidRPr="00B661CB" w:rsidRDefault="005462FB" w:rsidP="00D73AED">
      <w:pPr>
        <w:pStyle w:val="Odlomakpopisa"/>
        <w:numPr>
          <w:ilvl w:val="0"/>
          <w:numId w:val="1"/>
        </w:numPr>
      </w:pPr>
      <w:r w:rsidRPr="00B661CB">
        <w:t xml:space="preserve">od </w:t>
      </w:r>
      <w:r w:rsidR="00865F54" w:rsidRPr="00B661CB">
        <w:t>RBA za kamate na sredstva žiro računa</w:t>
      </w:r>
      <w:r w:rsidR="00865F54" w:rsidRPr="00B661CB">
        <w:tab/>
      </w:r>
      <w:r w:rsidR="00865F54" w:rsidRPr="00B661CB">
        <w:tab/>
        <w:t xml:space="preserve">   ukupno 64</w:t>
      </w:r>
      <w:r w:rsidR="006171B8" w:rsidRPr="00B661CB">
        <w:t>1</w:t>
      </w:r>
      <w:r w:rsidR="00865F54" w:rsidRPr="00B661CB">
        <w:t xml:space="preserve"> =</w:t>
      </w:r>
      <w:r w:rsidR="00865F54" w:rsidRPr="00B661CB">
        <w:tab/>
        <w:t xml:space="preserve">           0,</w:t>
      </w:r>
      <w:r w:rsidR="000D6FB7">
        <w:t>32</w:t>
      </w:r>
    </w:p>
    <w:p w:rsidR="005462FB" w:rsidRPr="00B661CB" w:rsidRDefault="00865F54" w:rsidP="00D73AED">
      <w:pPr>
        <w:pStyle w:val="Odlomakpopisa"/>
        <w:numPr>
          <w:ilvl w:val="0"/>
          <w:numId w:val="1"/>
        </w:numPr>
      </w:pPr>
      <w:r w:rsidRPr="00B661CB">
        <w:t>za duplikate svjedodžbi</w:t>
      </w:r>
      <w:r w:rsidR="000D6FB7">
        <w:t xml:space="preserve"> i refundacija</w:t>
      </w:r>
      <w:r w:rsidRPr="00B661CB">
        <w:tab/>
      </w:r>
      <w:r w:rsidRPr="00B661CB">
        <w:tab/>
        <w:t xml:space="preserve">   ukupno 65</w:t>
      </w:r>
      <w:r w:rsidR="006171B8" w:rsidRPr="00B661CB">
        <w:t>2</w:t>
      </w:r>
      <w:r w:rsidRPr="00B661CB">
        <w:t xml:space="preserve"> = </w:t>
      </w:r>
      <w:r w:rsidRPr="00B661CB">
        <w:tab/>
        <w:t xml:space="preserve">       </w:t>
      </w:r>
      <w:r w:rsidR="000D6FB7">
        <w:t>505</w:t>
      </w:r>
      <w:r w:rsidR="00E720C6" w:rsidRPr="00B661CB">
        <w:t>,</w:t>
      </w:r>
      <w:r w:rsidR="000D6FB7">
        <w:t>20</w:t>
      </w:r>
    </w:p>
    <w:p w:rsidR="000D6FB7" w:rsidRDefault="00865F54" w:rsidP="006171B8">
      <w:pPr>
        <w:pStyle w:val="Odlomakpopisa"/>
        <w:numPr>
          <w:ilvl w:val="0"/>
          <w:numId w:val="1"/>
        </w:numPr>
      </w:pPr>
      <w:r w:rsidRPr="00B661CB">
        <w:t>od vlastitih prihoda škole - obrazovanja odraslih, zakupa prostorija</w:t>
      </w:r>
    </w:p>
    <w:p w:rsidR="000D6FB7" w:rsidRDefault="00865F54" w:rsidP="000D6FB7">
      <w:pPr>
        <w:pStyle w:val="Odlomakpopisa"/>
      </w:pPr>
      <w:r w:rsidRPr="00B661CB">
        <w:t>škole, proizvodnja električne energije te za uslugu pratnj</w:t>
      </w:r>
      <w:r w:rsidR="00342187" w:rsidRPr="00B661CB">
        <w:t>e</w:t>
      </w:r>
      <w:r w:rsidRPr="00B661CB">
        <w:t xml:space="preserve"> profesora</w:t>
      </w:r>
    </w:p>
    <w:p w:rsidR="00865F54" w:rsidRPr="00B661CB" w:rsidRDefault="000D6FB7" w:rsidP="000D6FB7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65F54" w:rsidRPr="00B661CB">
        <w:tab/>
      </w:r>
      <w:r w:rsidR="006171B8" w:rsidRPr="00B661CB">
        <w:t xml:space="preserve">   ukupno 661 =</w:t>
      </w:r>
      <w:r w:rsidR="006171B8" w:rsidRPr="00B661CB">
        <w:tab/>
        <w:t xml:space="preserve">  </w:t>
      </w:r>
      <w:r>
        <w:t>16</w:t>
      </w:r>
      <w:r w:rsidR="00865F54" w:rsidRPr="00B661CB">
        <w:t>.</w:t>
      </w:r>
      <w:r>
        <w:t>309</w:t>
      </w:r>
      <w:r w:rsidR="00865F54" w:rsidRPr="00B661CB">
        <w:t>,</w:t>
      </w:r>
      <w:r>
        <w:t>06</w:t>
      </w:r>
    </w:p>
    <w:p w:rsidR="00865F54" w:rsidRPr="00B661CB" w:rsidRDefault="006171B8" w:rsidP="00D73AED">
      <w:pPr>
        <w:numPr>
          <w:ilvl w:val="0"/>
          <w:numId w:val="1"/>
        </w:numPr>
      </w:pPr>
      <w:r w:rsidRPr="00B661CB">
        <w:t>od donacija</w:t>
      </w:r>
      <w:r w:rsidRPr="00B661CB">
        <w:tab/>
      </w:r>
      <w:r w:rsidRPr="00B661CB">
        <w:tab/>
      </w:r>
      <w:r w:rsidRPr="00B661CB">
        <w:tab/>
      </w:r>
      <w:r w:rsidRPr="00B661CB">
        <w:tab/>
      </w:r>
      <w:r w:rsidRPr="00B661CB">
        <w:tab/>
      </w:r>
      <w:r w:rsidRPr="00B661CB">
        <w:tab/>
        <w:t xml:space="preserve">   ukupno 663 =  </w:t>
      </w:r>
      <w:r w:rsidRPr="00B661CB">
        <w:tab/>
        <w:t xml:space="preserve">    </w:t>
      </w:r>
      <w:r w:rsidR="000D6FB7">
        <w:t>2</w:t>
      </w:r>
      <w:r w:rsidRPr="00B661CB">
        <w:t>.</w:t>
      </w:r>
      <w:r w:rsidR="000D6FB7">
        <w:t>115</w:t>
      </w:r>
      <w:r w:rsidRPr="00B661CB">
        <w:t>,</w:t>
      </w:r>
      <w:r w:rsidR="000D6FB7">
        <w:t>69</w:t>
      </w:r>
    </w:p>
    <w:p w:rsidR="000D6FB7" w:rsidRDefault="007476D9" w:rsidP="00D73AED">
      <w:pPr>
        <w:numPr>
          <w:ilvl w:val="0"/>
          <w:numId w:val="1"/>
        </w:numPr>
      </w:pPr>
      <w:r w:rsidRPr="00B661CB">
        <w:t>od IŽ za materijalne rashode po kriterijima i po stvarnom trošku</w:t>
      </w:r>
      <w:r w:rsidR="006171B8" w:rsidRPr="00B661CB">
        <w:t xml:space="preserve">, </w:t>
      </w:r>
    </w:p>
    <w:p w:rsidR="007476D9" w:rsidRDefault="000D6FB7" w:rsidP="000D6FB7">
      <w:pPr>
        <w:ind w:left="720"/>
      </w:pPr>
      <w:r>
        <w:t>z</w:t>
      </w:r>
      <w:r w:rsidR="006171B8" w:rsidRPr="00B661CB">
        <w:t>a pomoćnike u nastavi te za Zavičajnu nastavu</w:t>
      </w:r>
      <w:r w:rsidR="006171B8" w:rsidRPr="00B661CB">
        <w:tab/>
        <w:t xml:space="preserve">   ukupno 671 =    </w:t>
      </w:r>
      <w:r w:rsidR="005462FB" w:rsidRPr="00B661CB">
        <w:t xml:space="preserve">    </w:t>
      </w:r>
      <w:r w:rsidR="007476D9" w:rsidRPr="00B661CB">
        <w:t xml:space="preserve"> </w:t>
      </w:r>
      <w:r w:rsidR="005462FB" w:rsidRPr="00B661CB">
        <w:t xml:space="preserve"> </w:t>
      </w:r>
      <w:r>
        <w:t>1</w:t>
      </w:r>
      <w:r w:rsidR="006171B8" w:rsidRPr="00B661CB">
        <w:t>3</w:t>
      </w:r>
      <w:r>
        <w:t>0</w:t>
      </w:r>
      <w:r w:rsidR="007476D9" w:rsidRPr="00B661CB">
        <w:t>.</w:t>
      </w:r>
      <w:r>
        <w:t>995</w:t>
      </w:r>
      <w:r w:rsidR="007476D9" w:rsidRPr="00B661CB">
        <w:t>,</w:t>
      </w:r>
      <w:r>
        <w:t>33</w:t>
      </w:r>
    </w:p>
    <w:p w:rsidR="000D6FB7" w:rsidRDefault="000D6FB7" w:rsidP="000D6FB7">
      <w:pPr>
        <w:pStyle w:val="Odlomakpopisa"/>
        <w:numPr>
          <w:ilvl w:val="0"/>
          <w:numId w:val="1"/>
        </w:numPr>
      </w:pPr>
      <w:r>
        <w:t>od prodaje imovine</w:t>
      </w:r>
      <w:r>
        <w:tab/>
      </w:r>
      <w:r>
        <w:tab/>
      </w:r>
      <w:r>
        <w:tab/>
      </w:r>
      <w:r>
        <w:tab/>
      </w:r>
      <w:r>
        <w:tab/>
      </w:r>
      <w:r w:rsidRPr="00B661CB">
        <w:t xml:space="preserve">   ukupno 7</w:t>
      </w:r>
      <w:r>
        <w:t>22</w:t>
      </w:r>
      <w:r w:rsidRPr="00B661CB">
        <w:t xml:space="preserve"> =          </w:t>
      </w:r>
      <w:r>
        <w:t xml:space="preserve">    9</w:t>
      </w:r>
      <w:r w:rsidRPr="00B661CB">
        <w:t>.</w:t>
      </w:r>
      <w:r>
        <w:t>150</w:t>
      </w:r>
      <w:r w:rsidRPr="00B661CB">
        <w:t>,</w:t>
      </w:r>
      <w:r>
        <w:t>00</w:t>
      </w:r>
    </w:p>
    <w:p w:rsidR="000D6FB7" w:rsidRPr="00B661CB" w:rsidRDefault="000D6FB7" w:rsidP="000D6FB7">
      <w:pPr>
        <w:ind w:left="720"/>
      </w:pPr>
    </w:p>
    <w:p w:rsidR="007476D9" w:rsidRPr="00B661CB" w:rsidRDefault="007476D9" w:rsidP="00D73AED">
      <w:r w:rsidRPr="00B661CB">
        <w:lastRenderedPageBreak/>
        <w:t>Prihodi su u odnosu na Izvršenje 202</w:t>
      </w:r>
      <w:r w:rsidR="006171B8" w:rsidRPr="00B661CB">
        <w:t>4</w:t>
      </w:r>
      <w:r w:rsidRPr="00B661CB">
        <w:t xml:space="preserve">. povećani za </w:t>
      </w:r>
      <w:r w:rsidR="006171B8" w:rsidRPr="00B661CB">
        <w:t>5</w:t>
      </w:r>
      <w:r w:rsidRPr="00B661CB">
        <w:t>,</w:t>
      </w:r>
      <w:r w:rsidR="000D6FB7">
        <w:t>69</w:t>
      </w:r>
      <w:r w:rsidRPr="00B661CB">
        <w:t xml:space="preserve"> % dok su u odnosu na Plan za 202</w:t>
      </w:r>
      <w:r w:rsidR="006171B8" w:rsidRPr="00B661CB">
        <w:t>5</w:t>
      </w:r>
      <w:r w:rsidRPr="00B661CB">
        <w:t xml:space="preserve">. ostvareni za </w:t>
      </w:r>
      <w:r w:rsidR="006171B8" w:rsidRPr="00B661CB">
        <w:t>9</w:t>
      </w:r>
      <w:r w:rsidR="000D6FB7">
        <w:t>9</w:t>
      </w:r>
      <w:r w:rsidRPr="00B661CB">
        <w:t>,</w:t>
      </w:r>
      <w:r w:rsidR="000D6FB7">
        <w:t>16</w:t>
      </w:r>
      <w:r w:rsidRPr="00B661CB">
        <w:t xml:space="preserve"> %. </w:t>
      </w:r>
    </w:p>
    <w:p w:rsidR="00342187" w:rsidRPr="00B661CB" w:rsidRDefault="00342187" w:rsidP="00342187">
      <w:pPr>
        <w:jc w:val="both"/>
        <w:rPr>
          <w:rFonts w:eastAsiaTheme="minorEastAsia"/>
          <w:szCs w:val="22"/>
        </w:rPr>
      </w:pPr>
      <w:r w:rsidRPr="00B661CB">
        <w:t xml:space="preserve">Najveće povećanje došlo je kod prihoda od </w:t>
      </w:r>
      <w:r w:rsidR="00DC06BF">
        <w:t>MZOM-a za plaće za zaposlene, od vlastitih prihoda zbog povećanog interesa polaznika u</w:t>
      </w:r>
      <w:r w:rsidRPr="00B661CB">
        <w:t xml:space="preserve"> obrazovanj</w:t>
      </w:r>
      <w:r w:rsidR="00DC06BF">
        <w:t>u</w:t>
      </w:r>
      <w:r w:rsidRPr="00B661CB">
        <w:t xml:space="preserve"> od</w:t>
      </w:r>
      <w:r w:rsidR="00DC06BF">
        <w:t xml:space="preserve">raslih, </w:t>
      </w:r>
      <w:r w:rsidR="00ED3C63">
        <w:t>od Istarske županije za financiranje redovne djelatnosti te smo izvršili prodaju zastarjele opreme. Prihodi su smanjeni kod prijenosa EU sredstava i kapitalnih donacija jer u 2024. godini smo imali više EU projekata te smo dobili veliku donaciju opreme od CARNET-a.</w:t>
      </w:r>
    </w:p>
    <w:p w:rsidR="006171B8" w:rsidRDefault="007476D9" w:rsidP="009A6B17">
      <w:pPr>
        <w:pStyle w:val="Tijeloteksta3"/>
        <w:spacing w:before="120" w:after="0"/>
        <w:rPr>
          <w:sz w:val="24"/>
          <w:szCs w:val="24"/>
        </w:rPr>
      </w:pPr>
      <w:r w:rsidRPr="00B661CB">
        <w:rPr>
          <w:sz w:val="24"/>
          <w:szCs w:val="24"/>
        </w:rPr>
        <w:t xml:space="preserve">Rashodi su ostvareni u iznosu od </w:t>
      </w:r>
      <w:r w:rsidR="00ED3C63">
        <w:rPr>
          <w:sz w:val="24"/>
          <w:szCs w:val="24"/>
        </w:rPr>
        <w:t>1.315.060,03</w:t>
      </w:r>
      <w:r w:rsidRPr="00B661CB">
        <w:rPr>
          <w:sz w:val="24"/>
          <w:szCs w:val="24"/>
        </w:rPr>
        <w:t xml:space="preserve"> </w:t>
      </w:r>
      <w:r w:rsidR="008B36CA" w:rsidRPr="00B661CB">
        <w:rPr>
          <w:sz w:val="24"/>
          <w:szCs w:val="24"/>
        </w:rPr>
        <w:t xml:space="preserve">eura </w:t>
      </w:r>
      <w:r w:rsidRPr="00B661CB">
        <w:rPr>
          <w:sz w:val="24"/>
          <w:szCs w:val="24"/>
        </w:rPr>
        <w:t xml:space="preserve">a sastoje se od rashoda poslovanja od </w:t>
      </w:r>
      <w:r w:rsidR="00ED3C63">
        <w:rPr>
          <w:sz w:val="24"/>
          <w:szCs w:val="24"/>
        </w:rPr>
        <w:t>1.289</w:t>
      </w:r>
      <w:r w:rsidRPr="00B661CB">
        <w:rPr>
          <w:sz w:val="24"/>
          <w:szCs w:val="24"/>
        </w:rPr>
        <w:t>.</w:t>
      </w:r>
      <w:r w:rsidR="00ED3C63">
        <w:rPr>
          <w:sz w:val="24"/>
          <w:szCs w:val="24"/>
        </w:rPr>
        <w:t>031</w:t>
      </w:r>
      <w:r w:rsidRPr="00B661CB">
        <w:rPr>
          <w:sz w:val="24"/>
          <w:szCs w:val="24"/>
        </w:rPr>
        <w:t>,</w:t>
      </w:r>
      <w:r w:rsidR="00ED3C63">
        <w:rPr>
          <w:sz w:val="24"/>
          <w:szCs w:val="24"/>
        </w:rPr>
        <w:t>56</w:t>
      </w:r>
      <w:r w:rsidRPr="00B661CB">
        <w:rPr>
          <w:sz w:val="24"/>
          <w:szCs w:val="24"/>
        </w:rPr>
        <w:t xml:space="preserve"> </w:t>
      </w:r>
      <w:r w:rsidR="008B36CA" w:rsidRPr="00B661CB">
        <w:rPr>
          <w:sz w:val="24"/>
          <w:szCs w:val="24"/>
        </w:rPr>
        <w:t xml:space="preserve">eura </w:t>
      </w:r>
      <w:r w:rsidRPr="00B661CB">
        <w:rPr>
          <w:sz w:val="24"/>
          <w:szCs w:val="24"/>
        </w:rPr>
        <w:t xml:space="preserve">i od rashoda za nabavu nefinancijske imovine </w:t>
      </w:r>
      <w:r w:rsidR="00ED3C63">
        <w:rPr>
          <w:sz w:val="24"/>
          <w:szCs w:val="24"/>
        </w:rPr>
        <w:t>26</w:t>
      </w:r>
      <w:r w:rsidRPr="00B661CB">
        <w:rPr>
          <w:sz w:val="24"/>
          <w:szCs w:val="24"/>
        </w:rPr>
        <w:t>.</w:t>
      </w:r>
      <w:r w:rsidR="00ED3C63">
        <w:rPr>
          <w:sz w:val="24"/>
          <w:szCs w:val="24"/>
        </w:rPr>
        <w:t>0</w:t>
      </w:r>
      <w:r w:rsidR="006171B8" w:rsidRPr="00B661CB">
        <w:rPr>
          <w:sz w:val="24"/>
          <w:szCs w:val="24"/>
        </w:rPr>
        <w:t>2</w:t>
      </w:r>
      <w:r w:rsidR="00ED3C63">
        <w:rPr>
          <w:sz w:val="24"/>
          <w:szCs w:val="24"/>
        </w:rPr>
        <w:t>8</w:t>
      </w:r>
      <w:r w:rsidRPr="00B661CB">
        <w:rPr>
          <w:sz w:val="24"/>
          <w:szCs w:val="24"/>
        </w:rPr>
        <w:t>,</w:t>
      </w:r>
      <w:r w:rsidR="00ED3C63">
        <w:rPr>
          <w:sz w:val="24"/>
          <w:szCs w:val="24"/>
        </w:rPr>
        <w:t>4</w:t>
      </w:r>
      <w:r w:rsidR="006171B8" w:rsidRPr="00B661CB">
        <w:rPr>
          <w:sz w:val="24"/>
          <w:szCs w:val="24"/>
        </w:rPr>
        <w:t>7</w:t>
      </w:r>
      <w:r w:rsidRPr="00B661CB">
        <w:rPr>
          <w:sz w:val="24"/>
          <w:szCs w:val="24"/>
        </w:rPr>
        <w:t xml:space="preserve"> </w:t>
      </w:r>
      <w:r w:rsidR="008B36CA" w:rsidRPr="00B661CB">
        <w:rPr>
          <w:sz w:val="24"/>
          <w:szCs w:val="24"/>
        </w:rPr>
        <w:t>eura</w:t>
      </w:r>
      <w:r w:rsidRPr="00B661CB">
        <w:rPr>
          <w:sz w:val="24"/>
          <w:szCs w:val="24"/>
        </w:rPr>
        <w:t>. U odnosu na Izvršenje 202</w:t>
      </w:r>
      <w:r w:rsidR="006171B8" w:rsidRPr="00B661CB">
        <w:rPr>
          <w:sz w:val="24"/>
          <w:szCs w:val="24"/>
        </w:rPr>
        <w:t>4</w:t>
      </w:r>
      <w:r w:rsidRPr="00B661CB">
        <w:rPr>
          <w:sz w:val="24"/>
          <w:szCs w:val="24"/>
        </w:rPr>
        <w:t xml:space="preserve">. </w:t>
      </w:r>
      <w:r w:rsidR="00ED3C63">
        <w:rPr>
          <w:sz w:val="24"/>
          <w:szCs w:val="24"/>
        </w:rPr>
        <w:t xml:space="preserve">godine, </w:t>
      </w:r>
      <w:r w:rsidRPr="00B661CB">
        <w:rPr>
          <w:sz w:val="24"/>
          <w:szCs w:val="24"/>
        </w:rPr>
        <w:t xml:space="preserve">ukupni rashodi </w:t>
      </w:r>
      <w:r w:rsidR="006171B8" w:rsidRPr="00B661CB">
        <w:rPr>
          <w:sz w:val="24"/>
          <w:szCs w:val="24"/>
        </w:rPr>
        <w:t>povećani</w:t>
      </w:r>
      <w:r w:rsidRPr="00B661CB">
        <w:rPr>
          <w:sz w:val="24"/>
          <w:szCs w:val="24"/>
        </w:rPr>
        <w:t xml:space="preserve"> su </w:t>
      </w:r>
      <w:r w:rsidR="006171B8" w:rsidRPr="00B661CB">
        <w:rPr>
          <w:sz w:val="24"/>
          <w:szCs w:val="24"/>
        </w:rPr>
        <w:t xml:space="preserve">za </w:t>
      </w:r>
      <w:r w:rsidR="00ED3C63">
        <w:rPr>
          <w:sz w:val="24"/>
          <w:szCs w:val="24"/>
        </w:rPr>
        <w:t>13</w:t>
      </w:r>
      <w:r w:rsidRPr="00B661CB">
        <w:rPr>
          <w:sz w:val="24"/>
          <w:szCs w:val="24"/>
        </w:rPr>
        <w:t>,</w:t>
      </w:r>
      <w:r w:rsidR="00ED3C63">
        <w:rPr>
          <w:sz w:val="24"/>
          <w:szCs w:val="24"/>
        </w:rPr>
        <w:t>81</w:t>
      </w:r>
      <w:r w:rsidRPr="00B661CB">
        <w:rPr>
          <w:sz w:val="24"/>
          <w:szCs w:val="24"/>
        </w:rPr>
        <w:t xml:space="preserve"> %</w:t>
      </w:r>
      <w:r w:rsidR="00430281" w:rsidRPr="00B661CB">
        <w:rPr>
          <w:sz w:val="24"/>
          <w:szCs w:val="24"/>
        </w:rPr>
        <w:t xml:space="preserve"> a u odnosu na Plan za 202</w:t>
      </w:r>
      <w:r w:rsidR="006171B8" w:rsidRPr="00B661CB">
        <w:rPr>
          <w:sz w:val="24"/>
          <w:szCs w:val="24"/>
        </w:rPr>
        <w:t>5</w:t>
      </w:r>
      <w:r w:rsidR="00430281" w:rsidRPr="00B661CB">
        <w:rPr>
          <w:sz w:val="24"/>
          <w:szCs w:val="24"/>
        </w:rPr>
        <w:t xml:space="preserve">. </w:t>
      </w:r>
      <w:r w:rsidR="00ED3C63">
        <w:rPr>
          <w:sz w:val="24"/>
          <w:szCs w:val="24"/>
        </w:rPr>
        <w:t>z</w:t>
      </w:r>
      <w:r w:rsidR="00430281" w:rsidRPr="00B661CB">
        <w:rPr>
          <w:sz w:val="24"/>
          <w:szCs w:val="24"/>
        </w:rPr>
        <w:t xml:space="preserve">a </w:t>
      </w:r>
      <w:r w:rsidR="00ED3C63">
        <w:rPr>
          <w:sz w:val="24"/>
          <w:szCs w:val="24"/>
        </w:rPr>
        <w:t>2</w:t>
      </w:r>
      <w:r w:rsidR="00430281" w:rsidRPr="00B661CB">
        <w:rPr>
          <w:sz w:val="24"/>
          <w:szCs w:val="24"/>
        </w:rPr>
        <w:t>,</w:t>
      </w:r>
      <w:r w:rsidR="00ED3C63">
        <w:rPr>
          <w:sz w:val="24"/>
          <w:szCs w:val="24"/>
        </w:rPr>
        <w:t>77</w:t>
      </w:r>
      <w:r w:rsidR="006171B8" w:rsidRPr="00B661CB">
        <w:rPr>
          <w:sz w:val="24"/>
          <w:szCs w:val="24"/>
        </w:rPr>
        <w:t xml:space="preserve"> </w:t>
      </w:r>
      <w:r w:rsidR="00430281" w:rsidRPr="00B661CB">
        <w:rPr>
          <w:sz w:val="24"/>
          <w:szCs w:val="24"/>
        </w:rPr>
        <w:t>%</w:t>
      </w:r>
      <w:r w:rsidR="009E4D89" w:rsidRPr="00B661CB">
        <w:rPr>
          <w:sz w:val="24"/>
          <w:szCs w:val="24"/>
        </w:rPr>
        <w:t>.</w:t>
      </w:r>
    </w:p>
    <w:p w:rsidR="00ED3C63" w:rsidRDefault="00ED3C63" w:rsidP="009A6B17">
      <w:pPr>
        <w:pStyle w:val="Tijeloteksta3"/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Najveće povećanje troškova odnosi se na </w:t>
      </w:r>
      <w:r w:rsidR="00D03149">
        <w:rPr>
          <w:sz w:val="24"/>
          <w:szCs w:val="24"/>
        </w:rPr>
        <w:t>plaće za zaposlene budući da su u 2025. godini evidentirane trinaest plaća tj.i plaća za 12/2025 koja je isplaćena u 2026. godini.</w:t>
      </w:r>
    </w:p>
    <w:p w:rsidR="00B661CB" w:rsidRDefault="00B661CB" w:rsidP="00D73AED">
      <w:pPr>
        <w:rPr>
          <w:rFonts w:eastAsia="Calibri"/>
          <w:b/>
          <w:lang w:eastAsia="en-US"/>
        </w:rPr>
      </w:pPr>
    </w:p>
    <w:p w:rsidR="00F646CD" w:rsidRPr="00B661CB" w:rsidRDefault="009E4D89" w:rsidP="00D73AED">
      <w:pPr>
        <w:rPr>
          <w:rFonts w:eastAsia="Calibri"/>
          <w:b/>
          <w:lang w:eastAsia="en-US"/>
        </w:rPr>
      </w:pPr>
      <w:r w:rsidRPr="00B661CB">
        <w:rPr>
          <w:rFonts w:eastAsia="Calibri"/>
          <w:b/>
          <w:lang w:eastAsia="en-US"/>
        </w:rPr>
        <w:t>OBRAZLOŽENJE VIŠKA/MANJKA</w:t>
      </w:r>
    </w:p>
    <w:p w:rsidR="00074A8C" w:rsidRPr="00B661CB" w:rsidRDefault="00074A8C" w:rsidP="00D73AED">
      <w:pPr>
        <w:rPr>
          <w:rFonts w:eastAsia="Calibri"/>
          <w:b/>
          <w:lang w:eastAsia="en-US"/>
        </w:rPr>
      </w:pPr>
    </w:p>
    <w:p w:rsidR="004E3050" w:rsidRPr="00B661CB" w:rsidRDefault="00F646CD" w:rsidP="00D73AED">
      <w:pPr>
        <w:pStyle w:val="Tijeloteksta3"/>
        <w:spacing w:after="0"/>
        <w:rPr>
          <w:sz w:val="24"/>
          <w:szCs w:val="24"/>
        </w:rPr>
      </w:pPr>
      <w:r w:rsidRPr="00B661CB">
        <w:rPr>
          <w:sz w:val="24"/>
          <w:szCs w:val="24"/>
        </w:rPr>
        <w:t>Višak prihoda i primitaka</w:t>
      </w:r>
      <w:r w:rsidR="004E3050" w:rsidRPr="00B661CB">
        <w:rPr>
          <w:sz w:val="24"/>
          <w:szCs w:val="24"/>
        </w:rPr>
        <w:t xml:space="preserve"> iz </w:t>
      </w:r>
      <w:r w:rsidR="0078348B">
        <w:rPr>
          <w:sz w:val="24"/>
          <w:szCs w:val="24"/>
        </w:rPr>
        <w:t>2024. godine</w:t>
      </w:r>
      <w:r w:rsidR="004E3050" w:rsidRPr="00B661CB">
        <w:rPr>
          <w:sz w:val="24"/>
          <w:szCs w:val="24"/>
        </w:rPr>
        <w:t xml:space="preserve"> koji je </w:t>
      </w:r>
      <w:r w:rsidRPr="00B661CB">
        <w:rPr>
          <w:sz w:val="24"/>
          <w:szCs w:val="24"/>
        </w:rPr>
        <w:t>raspoloživ u slijedećem razdoblju iznosi</w:t>
      </w:r>
      <w:r w:rsidR="0078348B">
        <w:rPr>
          <w:sz w:val="24"/>
          <w:szCs w:val="24"/>
        </w:rPr>
        <w:t>o je</w:t>
      </w:r>
      <w:r w:rsidRPr="00B661CB">
        <w:rPr>
          <w:sz w:val="24"/>
          <w:szCs w:val="24"/>
        </w:rPr>
        <w:t xml:space="preserve"> </w:t>
      </w:r>
      <w:r w:rsidR="004E3050" w:rsidRPr="00B661CB">
        <w:rPr>
          <w:sz w:val="24"/>
          <w:szCs w:val="24"/>
        </w:rPr>
        <w:t>5</w:t>
      </w:r>
      <w:r w:rsidR="0078348B">
        <w:rPr>
          <w:sz w:val="24"/>
          <w:szCs w:val="24"/>
        </w:rPr>
        <w:t>4</w:t>
      </w:r>
      <w:r w:rsidRPr="00B661CB">
        <w:rPr>
          <w:sz w:val="24"/>
          <w:szCs w:val="24"/>
        </w:rPr>
        <w:t>.</w:t>
      </w:r>
      <w:r w:rsidR="0078348B">
        <w:rPr>
          <w:sz w:val="24"/>
          <w:szCs w:val="24"/>
        </w:rPr>
        <w:t>0</w:t>
      </w:r>
      <w:r w:rsidR="004E3050" w:rsidRPr="00B661CB">
        <w:rPr>
          <w:sz w:val="24"/>
          <w:szCs w:val="24"/>
        </w:rPr>
        <w:t>6</w:t>
      </w:r>
      <w:r w:rsidR="0078348B">
        <w:rPr>
          <w:sz w:val="24"/>
          <w:szCs w:val="24"/>
        </w:rPr>
        <w:t>4</w:t>
      </w:r>
      <w:r w:rsidRPr="00B661CB">
        <w:rPr>
          <w:sz w:val="24"/>
          <w:szCs w:val="24"/>
        </w:rPr>
        <w:t>,</w:t>
      </w:r>
      <w:r w:rsidR="004E3050" w:rsidRPr="00B661CB">
        <w:rPr>
          <w:sz w:val="24"/>
          <w:szCs w:val="24"/>
        </w:rPr>
        <w:t>34</w:t>
      </w:r>
      <w:r w:rsidRPr="00B661CB">
        <w:rPr>
          <w:sz w:val="24"/>
          <w:szCs w:val="24"/>
        </w:rPr>
        <w:t xml:space="preserve"> eura </w:t>
      </w:r>
      <w:r w:rsidR="004E3050" w:rsidRPr="00B661CB">
        <w:rPr>
          <w:sz w:val="24"/>
          <w:szCs w:val="24"/>
        </w:rPr>
        <w:t xml:space="preserve">i u odnosu na </w:t>
      </w:r>
      <w:r w:rsidR="00723E85">
        <w:rPr>
          <w:sz w:val="24"/>
          <w:szCs w:val="24"/>
        </w:rPr>
        <w:t xml:space="preserve">Plan </w:t>
      </w:r>
      <w:r w:rsidR="004E3050" w:rsidRPr="00B661CB">
        <w:rPr>
          <w:sz w:val="24"/>
          <w:szCs w:val="24"/>
        </w:rPr>
        <w:t>202</w:t>
      </w:r>
      <w:r w:rsidR="00723E85">
        <w:rPr>
          <w:sz w:val="24"/>
          <w:szCs w:val="24"/>
        </w:rPr>
        <w:t>5</w:t>
      </w:r>
      <w:r w:rsidR="004E3050" w:rsidRPr="00B661CB">
        <w:rPr>
          <w:sz w:val="24"/>
          <w:szCs w:val="24"/>
        </w:rPr>
        <w:t xml:space="preserve">. umanjen je za </w:t>
      </w:r>
      <w:r w:rsidR="00723E85">
        <w:rPr>
          <w:sz w:val="24"/>
          <w:szCs w:val="24"/>
        </w:rPr>
        <w:t>2.692,00</w:t>
      </w:r>
      <w:r w:rsidR="004E3050" w:rsidRPr="00B661CB">
        <w:rPr>
          <w:sz w:val="24"/>
          <w:szCs w:val="24"/>
        </w:rPr>
        <w:t xml:space="preserve"> eura</w:t>
      </w:r>
      <w:r w:rsidR="00723E85">
        <w:rPr>
          <w:sz w:val="24"/>
          <w:szCs w:val="24"/>
        </w:rPr>
        <w:t xml:space="preserve">. To </w:t>
      </w:r>
      <w:r w:rsidR="004E3050" w:rsidRPr="00B661CB">
        <w:rPr>
          <w:sz w:val="24"/>
          <w:szCs w:val="24"/>
        </w:rPr>
        <w:t xml:space="preserve">se odnosi na sredstva za nabavku </w:t>
      </w:r>
      <w:r w:rsidR="00723E85">
        <w:rPr>
          <w:sz w:val="24"/>
          <w:szCs w:val="24"/>
        </w:rPr>
        <w:t xml:space="preserve">materijala za psihodijagnostiku </w:t>
      </w:r>
      <w:r w:rsidR="004E3050" w:rsidRPr="00B661CB">
        <w:rPr>
          <w:sz w:val="24"/>
          <w:szCs w:val="24"/>
        </w:rPr>
        <w:t xml:space="preserve">koja nam je krajem </w:t>
      </w:r>
      <w:r w:rsidR="00D03149">
        <w:rPr>
          <w:sz w:val="24"/>
          <w:szCs w:val="24"/>
        </w:rPr>
        <w:t>2024.</w:t>
      </w:r>
      <w:r w:rsidR="004E3050" w:rsidRPr="00B661CB">
        <w:rPr>
          <w:sz w:val="24"/>
          <w:szCs w:val="24"/>
        </w:rPr>
        <w:t xml:space="preserve"> godine doznačilo MZOM a </w:t>
      </w:r>
      <w:r w:rsidR="00723E85">
        <w:rPr>
          <w:sz w:val="24"/>
          <w:szCs w:val="24"/>
        </w:rPr>
        <w:t>budući da sredstva nisu utrošena izvršen je</w:t>
      </w:r>
      <w:r w:rsidR="00D03149">
        <w:rPr>
          <w:sz w:val="24"/>
          <w:szCs w:val="24"/>
        </w:rPr>
        <w:t xml:space="preserve"> njihov</w:t>
      </w:r>
      <w:r w:rsidR="00723E85">
        <w:rPr>
          <w:sz w:val="24"/>
          <w:szCs w:val="24"/>
        </w:rPr>
        <w:t xml:space="preserve"> povrat</w:t>
      </w:r>
      <w:r w:rsidR="004E3050" w:rsidRPr="00B661CB">
        <w:rPr>
          <w:sz w:val="24"/>
          <w:szCs w:val="24"/>
        </w:rPr>
        <w:t>.</w:t>
      </w:r>
    </w:p>
    <w:p w:rsidR="004E3050" w:rsidRPr="00B661CB" w:rsidRDefault="004E3050" w:rsidP="00D73AED">
      <w:pPr>
        <w:pStyle w:val="Tijeloteksta3"/>
        <w:spacing w:after="0"/>
        <w:rPr>
          <w:sz w:val="24"/>
          <w:szCs w:val="24"/>
        </w:rPr>
      </w:pPr>
    </w:p>
    <w:p w:rsidR="004E3050" w:rsidRPr="00B661CB" w:rsidRDefault="005715C7" w:rsidP="00D73AED">
      <w:pPr>
        <w:pStyle w:val="Tijeloteksta3"/>
        <w:spacing w:after="0"/>
        <w:rPr>
          <w:sz w:val="24"/>
          <w:szCs w:val="24"/>
        </w:rPr>
      </w:pPr>
      <w:r w:rsidRPr="00B661CB">
        <w:rPr>
          <w:sz w:val="24"/>
          <w:szCs w:val="24"/>
        </w:rPr>
        <w:t>Ukupni m</w:t>
      </w:r>
      <w:r w:rsidR="004E3050" w:rsidRPr="00B661CB">
        <w:rPr>
          <w:sz w:val="24"/>
          <w:szCs w:val="24"/>
        </w:rPr>
        <w:t>anjak prihoda i primitaka ostvaren od 1-</w:t>
      </w:r>
      <w:r w:rsidR="00723E85">
        <w:rPr>
          <w:sz w:val="24"/>
          <w:szCs w:val="24"/>
        </w:rPr>
        <w:t>12</w:t>
      </w:r>
      <w:r w:rsidR="004E3050" w:rsidRPr="00B661CB">
        <w:rPr>
          <w:sz w:val="24"/>
          <w:szCs w:val="24"/>
        </w:rPr>
        <w:t xml:space="preserve">/2025. godine iznosi </w:t>
      </w:r>
      <w:r w:rsidR="00723E85">
        <w:rPr>
          <w:sz w:val="24"/>
          <w:szCs w:val="24"/>
        </w:rPr>
        <w:t>45</w:t>
      </w:r>
      <w:r w:rsidR="004E3050" w:rsidRPr="00B661CB">
        <w:rPr>
          <w:sz w:val="24"/>
          <w:szCs w:val="24"/>
        </w:rPr>
        <w:t>.7</w:t>
      </w:r>
      <w:r w:rsidR="00723E85">
        <w:rPr>
          <w:sz w:val="24"/>
          <w:szCs w:val="24"/>
        </w:rPr>
        <w:t>97</w:t>
      </w:r>
      <w:r w:rsidR="004E3050" w:rsidRPr="00B661CB">
        <w:rPr>
          <w:sz w:val="24"/>
          <w:szCs w:val="24"/>
        </w:rPr>
        <w:t>,</w:t>
      </w:r>
      <w:r w:rsidR="00723E85">
        <w:rPr>
          <w:sz w:val="24"/>
          <w:szCs w:val="24"/>
        </w:rPr>
        <w:t>0</w:t>
      </w:r>
      <w:r w:rsidR="004E3050" w:rsidRPr="00B661CB">
        <w:rPr>
          <w:sz w:val="24"/>
          <w:szCs w:val="24"/>
        </w:rPr>
        <w:t>6 eura i sastoji se od slijedećih izvora financiranja:</w:t>
      </w:r>
    </w:p>
    <w:tbl>
      <w:tblPr>
        <w:tblW w:w="9058" w:type="dxa"/>
        <w:tblInd w:w="93" w:type="dxa"/>
        <w:tblLook w:val="04A0" w:firstRow="1" w:lastRow="0" w:firstColumn="1" w:lastColumn="0" w:noHBand="0" w:noVBand="1"/>
      </w:tblPr>
      <w:tblGrid>
        <w:gridCol w:w="6536"/>
        <w:gridCol w:w="2522"/>
      </w:tblGrid>
      <w:tr w:rsidR="005715C7" w:rsidRPr="00B661CB" w:rsidTr="005715C7">
        <w:trPr>
          <w:trHeight w:val="616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C7" w:rsidRPr="00B661CB" w:rsidRDefault="005715C7" w:rsidP="007B31E9">
            <w:pPr>
              <w:rPr>
                <w:b/>
                <w:bCs/>
              </w:rPr>
            </w:pPr>
            <w:r w:rsidRPr="00B661CB">
              <w:rPr>
                <w:b/>
                <w:bCs/>
              </w:rPr>
              <w:t>Izvori financiranja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5C7" w:rsidRPr="00B661CB" w:rsidRDefault="005715C7" w:rsidP="00723E85">
            <w:pPr>
              <w:jc w:val="center"/>
              <w:rPr>
                <w:b/>
                <w:bCs/>
              </w:rPr>
            </w:pPr>
            <w:r w:rsidRPr="00B661CB">
              <w:rPr>
                <w:b/>
                <w:bCs/>
              </w:rPr>
              <w:t>MANJAK/VIŠAK</w:t>
            </w:r>
            <w:r w:rsidRPr="00B661CB">
              <w:rPr>
                <w:b/>
                <w:bCs/>
              </w:rPr>
              <w:br/>
              <w:t>1.-</w:t>
            </w:r>
            <w:r w:rsidR="00723E85">
              <w:rPr>
                <w:b/>
                <w:bCs/>
              </w:rPr>
              <w:t>12</w:t>
            </w:r>
            <w:r w:rsidRPr="00B661CB">
              <w:rPr>
                <w:b/>
                <w:bCs/>
              </w:rPr>
              <w:t>./2025.</w:t>
            </w:r>
          </w:p>
        </w:tc>
      </w:tr>
      <w:tr w:rsidR="005715C7" w:rsidRPr="00B661CB" w:rsidTr="005715C7">
        <w:trPr>
          <w:trHeight w:val="39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5C7" w:rsidRPr="00B661CB" w:rsidRDefault="005715C7" w:rsidP="007B31E9">
            <w:r w:rsidRPr="00B661CB">
              <w:t>1 Opći prihodi i primici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5C7" w:rsidRPr="00B661CB" w:rsidRDefault="00723E85" w:rsidP="00723E85">
            <w:pPr>
              <w:jc w:val="right"/>
            </w:pPr>
            <w:r>
              <w:t>-6</w:t>
            </w:r>
            <w:r w:rsidR="006A2797" w:rsidRPr="00B661CB">
              <w:t>.</w:t>
            </w:r>
            <w:r>
              <w:t>762</w:t>
            </w:r>
            <w:r w:rsidR="006A2797" w:rsidRPr="00B661CB">
              <w:t>,</w:t>
            </w:r>
            <w:r>
              <w:t>27</w:t>
            </w:r>
          </w:p>
        </w:tc>
      </w:tr>
      <w:tr w:rsidR="005715C7" w:rsidRPr="00B661CB" w:rsidTr="005715C7">
        <w:trPr>
          <w:trHeight w:val="39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5C7" w:rsidRPr="00B661CB" w:rsidRDefault="005715C7" w:rsidP="007B31E9">
            <w:r w:rsidRPr="00B661CB">
              <w:t>3 Vlastiti prihodi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5C7" w:rsidRPr="00B661CB" w:rsidRDefault="006A2797" w:rsidP="00723E85">
            <w:pPr>
              <w:jc w:val="right"/>
            </w:pPr>
            <w:r w:rsidRPr="00B661CB">
              <w:t>+</w:t>
            </w:r>
            <w:r w:rsidR="00723E85">
              <w:t>20</w:t>
            </w:r>
            <w:r w:rsidR="005715C7" w:rsidRPr="00B661CB">
              <w:t>.</w:t>
            </w:r>
            <w:r w:rsidR="00723E85">
              <w:t>188</w:t>
            </w:r>
            <w:r w:rsidR="005715C7" w:rsidRPr="00B661CB">
              <w:t>,</w:t>
            </w:r>
            <w:r w:rsidR="00723E85">
              <w:t>67</w:t>
            </w:r>
          </w:p>
        </w:tc>
      </w:tr>
      <w:tr w:rsidR="005715C7" w:rsidRPr="00B661CB" w:rsidTr="005715C7">
        <w:trPr>
          <w:trHeight w:val="39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5C7" w:rsidRPr="00B661CB" w:rsidRDefault="005715C7" w:rsidP="007B31E9">
            <w:r w:rsidRPr="00B661CB">
              <w:t>4 Prihodi za posebne namjene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5C7" w:rsidRPr="00B661CB" w:rsidRDefault="006A2797" w:rsidP="00723E85">
            <w:pPr>
              <w:jc w:val="right"/>
            </w:pPr>
            <w:r w:rsidRPr="00B661CB">
              <w:t>-1</w:t>
            </w:r>
            <w:r w:rsidR="00723E85">
              <w:t>0</w:t>
            </w:r>
            <w:r w:rsidR="005715C7" w:rsidRPr="00B661CB">
              <w:t>.</w:t>
            </w:r>
            <w:r w:rsidRPr="00B661CB">
              <w:t>8</w:t>
            </w:r>
            <w:r w:rsidR="00723E85">
              <w:t>48</w:t>
            </w:r>
            <w:r w:rsidR="005715C7" w:rsidRPr="00B661CB">
              <w:t>,</w:t>
            </w:r>
            <w:r w:rsidR="00723E85">
              <w:t>48</w:t>
            </w:r>
          </w:p>
        </w:tc>
      </w:tr>
      <w:tr w:rsidR="006A2797" w:rsidRPr="00B661CB" w:rsidTr="005715C7">
        <w:trPr>
          <w:trHeight w:val="39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2797" w:rsidRPr="00B661CB" w:rsidRDefault="006A2797" w:rsidP="007B31E9">
            <w:r w:rsidRPr="00B661CB">
              <w:t>5 Pomoći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2797" w:rsidRPr="00B661CB" w:rsidRDefault="006A2797" w:rsidP="00723E85">
            <w:pPr>
              <w:jc w:val="right"/>
            </w:pPr>
            <w:r w:rsidRPr="00B661CB">
              <w:t>-7</w:t>
            </w:r>
            <w:r w:rsidR="00723E85">
              <w:t>8</w:t>
            </w:r>
            <w:r w:rsidRPr="00B661CB">
              <w:t>.</w:t>
            </w:r>
            <w:r w:rsidR="00723E85">
              <w:t>444</w:t>
            </w:r>
            <w:r w:rsidRPr="00B661CB">
              <w:t>,</w:t>
            </w:r>
            <w:r w:rsidR="00723E85">
              <w:t>98</w:t>
            </w:r>
          </w:p>
        </w:tc>
      </w:tr>
      <w:tr w:rsidR="005715C7" w:rsidRPr="00B661CB" w:rsidTr="005715C7">
        <w:trPr>
          <w:trHeight w:val="39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5C7" w:rsidRPr="00B661CB" w:rsidRDefault="006A2797" w:rsidP="007B31E9">
            <w:r w:rsidRPr="00B661CB">
              <w:t>6 Donacije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5C7" w:rsidRPr="00B661CB" w:rsidRDefault="00723E85" w:rsidP="007B31E9">
            <w:pPr>
              <w:jc w:val="right"/>
            </w:pPr>
            <w:r>
              <w:t>3</w:t>
            </w:r>
            <w:r w:rsidR="006A2797" w:rsidRPr="00B661CB">
              <w:t>0</w:t>
            </w:r>
            <w:r>
              <w:t>.070</w:t>
            </w:r>
            <w:r w:rsidR="006A2797" w:rsidRPr="00B661CB">
              <w:t>,00</w:t>
            </w:r>
          </w:p>
        </w:tc>
      </w:tr>
      <w:tr w:rsidR="005715C7" w:rsidRPr="00B661CB" w:rsidTr="005715C7">
        <w:trPr>
          <w:trHeight w:val="396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5C7" w:rsidRPr="00B661CB" w:rsidRDefault="005715C7" w:rsidP="007B31E9">
            <w:pPr>
              <w:spacing w:after="60"/>
              <w:rPr>
                <w:b/>
                <w:bCs/>
              </w:rPr>
            </w:pPr>
            <w:r w:rsidRPr="00B661CB">
              <w:rPr>
                <w:b/>
                <w:bCs/>
              </w:rPr>
              <w:t>U K U P N 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15C7" w:rsidRPr="00B661CB" w:rsidRDefault="006A2797" w:rsidP="00723E85">
            <w:pPr>
              <w:spacing w:after="60"/>
              <w:jc w:val="right"/>
              <w:rPr>
                <w:b/>
                <w:bCs/>
              </w:rPr>
            </w:pPr>
            <w:r w:rsidRPr="00B661CB">
              <w:rPr>
                <w:b/>
                <w:bCs/>
              </w:rPr>
              <w:t>-</w:t>
            </w:r>
            <w:r w:rsidR="00723E85">
              <w:rPr>
                <w:b/>
                <w:bCs/>
              </w:rPr>
              <w:t>45</w:t>
            </w:r>
            <w:r w:rsidR="005715C7" w:rsidRPr="00B661CB">
              <w:rPr>
                <w:b/>
                <w:bCs/>
              </w:rPr>
              <w:t>.7</w:t>
            </w:r>
            <w:r w:rsidR="00723E85">
              <w:rPr>
                <w:b/>
                <w:bCs/>
              </w:rPr>
              <w:t>97,0</w:t>
            </w:r>
            <w:r w:rsidRPr="00B661CB">
              <w:rPr>
                <w:b/>
                <w:bCs/>
              </w:rPr>
              <w:t>6</w:t>
            </w:r>
          </w:p>
        </w:tc>
      </w:tr>
    </w:tbl>
    <w:p w:rsidR="004E3050" w:rsidRPr="00B661CB" w:rsidRDefault="004E3050" w:rsidP="00D73AED">
      <w:pPr>
        <w:pStyle w:val="Tijeloteksta3"/>
        <w:spacing w:after="0"/>
        <w:rPr>
          <w:sz w:val="24"/>
          <w:szCs w:val="24"/>
        </w:rPr>
      </w:pPr>
    </w:p>
    <w:p w:rsidR="00B661CB" w:rsidRDefault="00D554AF" w:rsidP="00723E85">
      <w:pPr>
        <w:jc w:val="both"/>
        <w:rPr>
          <w:rFonts w:eastAsia="Calibri"/>
          <w:b/>
          <w:lang w:eastAsia="en-US"/>
        </w:rPr>
      </w:pPr>
      <w:r w:rsidRPr="00B661CB">
        <w:t>Manjak u razdoblju od 01.01.2025. do 3</w:t>
      </w:r>
      <w:r w:rsidR="00723E85">
        <w:t>1</w:t>
      </w:r>
      <w:r w:rsidRPr="00B661CB">
        <w:t>.</w:t>
      </w:r>
      <w:r w:rsidR="00723E85">
        <w:t>12</w:t>
      </w:r>
      <w:r w:rsidRPr="00B661CB">
        <w:t xml:space="preserve">.2025. u iznosu od </w:t>
      </w:r>
      <w:r w:rsidR="00723E85">
        <w:t>45</w:t>
      </w:r>
      <w:r w:rsidRPr="00B661CB">
        <w:t>.7</w:t>
      </w:r>
      <w:r w:rsidR="00723E85">
        <w:t>97</w:t>
      </w:r>
      <w:r w:rsidRPr="00B661CB">
        <w:t>,</w:t>
      </w:r>
      <w:r w:rsidR="00723E85">
        <w:t>0</w:t>
      </w:r>
      <w:r w:rsidRPr="00B661CB">
        <w:t>6 eura je ostvaren i kod prihoda poslovanja (</w:t>
      </w:r>
      <w:r w:rsidR="00723E85">
        <w:t>55</w:t>
      </w:r>
      <w:r w:rsidRPr="00B661CB">
        <w:t>.</w:t>
      </w:r>
      <w:r w:rsidR="00723E85">
        <w:t>033</w:t>
      </w:r>
      <w:r w:rsidRPr="00B661CB">
        <w:t>,</w:t>
      </w:r>
      <w:r w:rsidR="00723E85">
        <w:t>9</w:t>
      </w:r>
      <w:r w:rsidRPr="00B661CB">
        <w:t xml:space="preserve">0) </w:t>
      </w:r>
      <w:r w:rsidR="00723E85">
        <w:t>a</w:t>
      </w:r>
      <w:r w:rsidRPr="00B661CB">
        <w:t xml:space="preserve"> kod nefinancijske imovine</w:t>
      </w:r>
      <w:r w:rsidR="00723E85">
        <w:t xml:space="preserve"> je ostvaren višak od 9</w:t>
      </w:r>
      <w:r w:rsidRPr="00B661CB">
        <w:t>.23</w:t>
      </w:r>
      <w:r w:rsidR="00723E85">
        <w:t>6</w:t>
      </w:r>
      <w:r w:rsidRPr="00B661CB">
        <w:t>,</w:t>
      </w:r>
      <w:r w:rsidR="00723E85">
        <w:t>84 eura</w:t>
      </w:r>
      <w:r w:rsidRPr="00B661CB">
        <w:t xml:space="preserve">. Kod prihoda poslovanja došlo je do manjka zbog primjene novog Pravilnika o proračunskom računovodstvu i računskom planu kojim je ukinuta podskupina računa 193 Kontinuirani rashodi budućih razdoblja i zato je u ovom obračunskom razdoblju evidentirana i plaća za </w:t>
      </w:r>
      <w:r w:rsidR="00723E85">
        <w:t>12</w:t>
      </w:r>
      <w:r w:rsidRPr="00B661CB">
        <w:t xml:space="preserve">/2025. godine. </w:t>
      </w:r>
      <w:r w:rsidR="00723E85">
        <w:t xml:space="preserve">Također, zbog prelaska na lokalnu riznicu tj.ukidanjem našeg žiro računa te nepredviđenih okolnosti vezano za plaćanje </w:t>
      </w:r>
      <w:r w:rsidR="00B169E8">
        <w:t>dobavljačima, dio računa za 2025. godinu plaćen je početkom 2026. godine. Zbog načina evidentiranja, prihod za ta plaćanja evidentiran je 2026. godini i zato je došlo do metodološkog manjaka za podmirenje materijalnih rashoda.</w:t>
      </w:r>
    </w:p>
    <w:p w:rsidR="00B661CB" w:rsidRDefault="00B661CB" w:rsidP="00D73AED">
      <w:pPr>
        <w:rPr>
          <w:rFonts w:eastAsia="Calibri"/>
          <w:b/>
          <w:lang w:eastAsia="en-US"/>
        </w:rPr>
      </w:pPr>
    </w:p>
    <w:p w:rsidR="00D03149" w:rsidRDefault="00D03149" w:rsidP="00D73AED">
      <w:pPr>
        <w:rPr>
          <w:rFonts w:eastAsia="Calibri"/>
          <w:b/>
          <w:lang w:eastAsia="en-US"/>
        </w:rPr>
      </w:pPr>
    </w:p>
    <w:p w:rsidR="006D1960" w:rsidRDefault="006D1960" w:rsidP="00D73AED">
      <w:pPr>
        <w:rPr>
          <w:rFonts w:eastAsia="Calibri"/>
          <w:b/>
          <w:lang w:eastAsia="en-US"/>
        </w:rPr>
      </w:pPr>
    </w:p>
    <w:p w:rsidR="00D144EE" w:rsidRPr="00B661CB" w:rsidRDefault="00D144EE" w:rsidP="00D73AED">
      <w:pPr>
        <w:rPr>
          <w:rFonts w:eastAsia="Calibri"/>
          <w:b/>
          <w:lang w:eastAsia="en-US"/>
        </w:rPr>
      </w:pPr>
      <w:r w:rsidRPr="00B661CB">
        <w:rPr>
          <w:rFonts w:eastAsia="Calibri"/>
          <w:b/>
          <w:lang w:eastAsia="en-US"/>
        </w:rPr>
        <w:lastRenderedPageBreak/>
        <w:t>STANJE NOVČANIH SREDSTAVA NA POČETKU I</w:t>
      </w:r>
      <w:r w:rsidR="007D4F90" w:rsidRPr="00B661CB">
        <w:rPr>
          <w:rFonts w:eastAsia="Calibri"/>
          <w:b/>
          <w:lang w:eastAsia="en-US"/>
        </w:rPr>
        <w:t xml:space="preserve"> NA</w:t>
      </w:r>
      <w:r w:rsidRPr="00B661CB">
        <w:rPr>
          <w:rFonts w:eastAsia="Calibri"/>
          <w:b/>
          <w:lang w:eastAsia="en-US"/>
        </w:rPr>
        <w:t xml:space="preserve"> KRAJU IZVJEŠTAJNOG RAZDOBLJA</w:t>
      </w:r>
    </w:p>
    <w:p w:rsidR="00D144EE" w:rsidRPr="00B661CB" w:rsidRDefault="00D144EE" w:rsidP="00D73AED">
      <w:pPr>
        <w:rPr>
          <w:highlight w:val="yellow"/>
        </w:rPr>
      </w:pPr>
    </w:p>
    <w:p w:rsidR="00D144EE" w:rsidRPr="00B661CB" w:rsidRDefault="00D144EE" w:rsidP="00D73AED">
      <w:pPr>
        <w:pStyle w:val="Uvuenotijeloteksta"/>
        <w:ind w:firstLine="0"/>
        <w:jc w:val="left"/>
        <w:textAlignment w:val="baseline"/>
        <w:rPr>
          <w:szCs w:val="24"/>
          <w:lang w:val="pl-PL"/>
        </w:rPr>
      </w:pPr>
      <w:r w:rsidRPr="00B661CB">
        <w:rPr>
          <w:szCs w:val="24"/>
          <w:lang w:val="pl-PL"/>
        </w:rPr>
        <w:t xml:space="preserve">Stanje na žiro računu </w:t>
      </w:r>
      <w:r w:rsidR="007476D9" w:rsidRPr="00B661CB">
        <w:rPr>
          <w:szCs w:val="24"/>
          <w:lang w:val="pl-PL"/>
        </w:rPr>
        <w:t>0</w:t>
      </w:r>
      <w:r w:rsidRPr="00B661CB">
        <w:rPr>
          <w:szCs w:val="24"/>
          <w:lang w:val="pl-PL"/>
        </w:rPr>
        <w:t>1.</w:t>
      </w:r>
      <w:r w:rsidR="007476D9" w:rsidRPr="00B661CB">
        <w:rPr>
          <w:szCs w:val="24"/>
          <w:lang w:val="pl-PL"/>
        </w:rPr>
        <w:t>0</w:t>
      </w:r>
      <w:r w:rsidRPr="00B661CB">
        <w:rPr>
          <w:szCs w:val="24"/>
          <w:lang w:val="pl-PL"/>
        </w:rPr>
        <w:t>1.202</w:t>
      </w:r>
      <w:r w:rsidR="007F23A3" w:rsidRPr="00B661CB">
        <w:rPr>
          <w:szCs w:val="24"/>
          <w:lang w:val="pl-PL"/>
        </w:rPr>
        <w:t>5</w:t>
      </w:r>
      <w:r w:rsidRPr="00B661CB">
        <w:rPr>
          <w:szCs w:val="24"/>
          <w:lang w:val="pl-PL"/>
        </w:rPr>
        <w:t xml:space="preserve">. iznosi </w:t>
      </w:r>
      <w:r w:rsidR="007F23A3" w:rsidRPr="00B661CB">
        <w:rPr>
          <w:szCs w:val="24"/>
          <w:lang w:val="pl-PL"/>
        </w:rPr>
        <w:t>59</w:t>
      </w:r>
      <w:r w:rsidRPr="00B661CB">
        <w:rPr>
          <w:szCs w:val="24"/>
          <w:lang w:val="pl-PL"/>
        </w:rPr>
        <w:t>.18</w:t>
      </w:r>
      <w:r w:rsidR="007F23A3" w:rsidRPr="00B661CB">
        <w:rPr>
          <w:szCs w:val="24"/>
          <w:lang w:val="pl-PL"/>
        </w:rPr>
        <w:t>4</w:t>
      </w:r>
      <w:r w:rsidRPr="00B661CB">
        <w:rPr>
          <w:szCs w:val="24"/>
          <w:lang w:val="pl-PL"/>
        </w:rPr>
        <w:t>,3</w:t>
      </w:r>
      <w:r w:rsidR="007F23A3" w:rsidRPr="00B661CB">
        <w:rPr>
          <w:szCs w:val="24"/>
          <w:lang w:val="pl-PL"/>
        </w:rPr>
        <w:t>5</w:t>
      </w:r>
      <w:r w:rsidRPr="00B661CB">
        <w:rPr>
          <w:szCs w:val="24"/>
          <w:lang w:val="pl-PL"/>
        </w:rPr>
        <w:t xml:space="preserve"> </w:t>
      </w:r>
      <w:r w:rsidR="008B36CA" w:rsidRPr="00B661CB">
        <w:rPr>
          <w:szCs w:val="24"/>
          <w:lang w:val="pl-PL"/>
        </w:rPr>
        <w:t>eura</w:t>
      </w:r>
      <w:r w:rsidR="00661916" w:rsidRPr="00B661CB">
        <w:rPr>
          <w:szCs w:val="24"/>
          <w:lang w:val="pl-PL"/>
        </w:rPr>
        <w:t>,</w:t>
      </w:r>
      <w:r w:rsidRPr="00B661CB">
        <w:rPr>
          <w:szCs w:val="24"/>
          <w:lang w:val="pl-PL"/>
        </w:rPr>
        <w:t xml:space="preserve"> a na dan 3</w:t>
      </w:r>
      <w:r w:rsidR="00571C70">
        <w:rPr>
          <w:szCs w:val="24"/>
          <w:lang w:val="pl-PL"/>
        </w:rPr>
        <w:t>1</w:t>
      </w:r>
      <w:r w:rsidRPr="00B661CB">
        <w:rPr>
          <w:szCs w:val="24"/>
          <w:lang w:val="pl-PL"/>
        </w:rPr>
        <w:t>.</w:t>
      </w:r>
      <w:r w:rsidR="00571C70">
        <w:rPr>
          <w:szCs w:val="24"/>
          <w:lang w:val="pl-PL"/>
        </w:rPr>
        <w:t>12</w:t>
      </w:r>
      <w:r w:rsidRPr="00B661CB">
        <w:rPr>
          <w:szCs w:val="24"/>
          <w:lang w:val="pl-PL"/>
        </w:rPr>
        <w:t>.202</w:t>
      </w:r>
      <w:r w:rsidR="007F23A3" w:rsidRPr="00B661CB">
        <w:rPr>
          <w:szCs w:val="24"/>
          <w:lang w:val="pl-PL"/>
        </w:rPr>
        <w:t>5</w:t>
      </w:r>
      <w:r w:rsidRPr="00B661CB">
        <w:rPr>
          <w:szCs w:val="24"/>
          <w:lang w:val="pl-PL"/>
        </w:rPr>
        <w:t xml:space="preserve">. iznosi </w:t>
      </w:r>
      <w:r w:rsidR="00571C70">
        <w:rPr>
          <w:szCs w:val="24"/>
          <w:lang w:val="pl-PL"/>
        </w:rPr>
        <w:t>67</w:t>
      </w:r>
      <w:r w:rsidRPr="00B661CB">
        <w:rPr>
          <w:szCs w:val="24"/>
          <w:lang w:val="pl-PL"/>
        </w:rPr>
        <w:t>.</w:t>
      </w:r>
      <w:r w:rsidR="00571C70">
        <w:rPr>
          <w:szCs w:val="24"/>
          <w:lang w:val="pl-PL"/>
        </w:rPr>
        <w:t>163</w:t>
      </w:r>
      <w:r w:rsidRPr="00B661CB">
        <w:rPr>
          <w:szCs w:val="24"/>
          <w:lang w:val="pl-PL"/>
        </w:rPr>
        <w:t>,</w:t>
      </w:r>
      <w:r w:rsidR="007F23A3" w:rsidRPr="00B661CB">
        <w:rPr>
          <w:szCs w:val="24"/>
          <w:lang w:val="pl-PL"/>
        </w:rPr>
        <w:t>6</w:t>
      </w:r>
      <w:r w:rsidR="00571C70">
        <w:rPr>
          <w:szCs w:val="24"/>
          <w:lang w:val="pl-PL"/>
        </w:rPr>
        <w:t>9</w:t>
      </w:r>
      <w:r w:rsidRPr="00B661CB">
        <w:rPr>
          <w:szCs w:val="24"/>
          <w:lang w:val="pl-PL"/>
        </w:rPr>
        <w:t xml:space="preserve"> </w:t>
      </w:r>
      <w:r w:rsidR="008B36CA" w:rsidRPr="00B661CB">
        <w:rPr>
          <w:szCs w:val="24"/>
          <w:lang w:val="pl-PL"/>
        </w:rPr>
        <w:t>eura</w:t>
      </w:r>
      <w:r w:rsidRPr="00B661CB">
        <w:rPr>
          <w:szCs w:val="24"/>
          <w:lang w:val="pl-PL"/>
        </w:rPr>
        <w:t>.</w:t>
      </w:r>
      <w:r w:rsidR="00097587" w:rsidRPr="00B661CB">
        <w:rPr>
          <w:szCs w:val="24"/>
          <w:lang w:val="pl-PL"/>
        </w:rPr>
        <w:t xml:space="preserve"> Novčana sredstva na početku izvještajnog razdoblja čine neutrošena sredstva od EU projekata</w:t>
      </w:r>
      <w:r w:rsidR="007F23A3" w:rsidRPr="00B661CB">
        <w:rPr>
          <w:szCs w:val="24"/>
          <w:lang w:val="pl-PL"/>
        </w:rPr>
        <w:t>, Grada Pule, MZOM-a</w:t>
      </w:r>
      <w:r w:rsidR="00097587" w:rsidRPr="00B661CB">
        <w:rPr>
          <w:szCs w:val="24"/>
          <w:lang w:val="pl-PL"/>
        </w:rPr>
        <w:t xml:space="preserve"> te od vlastitih sredstava</w:t>
      </w:r>
      <w:r w:rsidR="008B36CA" w:rsidRPr="00B661CB">
        <w:rPr>
          <w:szCs w:val="24"/>
          <w:lang w:val="pl-PL"/>
        </w:rPr>
        <w:t xml:space="preserve"> koja su</w:t>
      </w:r>
      <w:r w:rsidR="00097587" w:rsidRPr="00B661CB">
        <w:rPr>
          <w:szCs w:val="24"/>
          <w:lang w:val="pl-PL"/>
        </w:rPr>
        <w:t xml:space="preserve"> umanjena za metodološki manjak</w:t>
      </w:r>
      <w:r w:rsidR="008B36CA" w:rsidRPr="00B661CB">
        <w:rPr>
          <w:szCs w:val="24"/>
          <w:lang w:val="pl-PL"/>
        </w:rPr>
        <w:t xml:space="preserve">. </w:t>
      </w:r>
      <w:r w:rsidR="00571C70">
        <w:rPr>
          <w:szCs w:val="24"/>
          <w:lang w:val="pl-PL"/>
        </w:rPr>
        <w:t xml:space="preserve">Stanje </w:t>
      </w:r>
      <w:r w:rsidR="004803EC">
        <w:rPr>
          <w:szCs w:val="24"/>
          <w:lang w:val="pl-PL"/>
        </w:rPr>
        <w:t>na kraju izvještajnog razdoblja</w:t>
      </w:r>
      <w:r w:rsidR="00571C70">
        <w:rPr>
          <w:szCs w:val="24"/>
          <w:lang w:val="pl-PL"/>
        </w:rPr>
        <w:t xml:space="preserve"> sastoj</w:t>
      </w:r>
      <w:r w:rsidR="004803EC">
        <w:rPr>
          <w:szCs w:val="24"/>
          <w:lang w:val="pl-PL"/>
        </w:rPr>
        <w:t>i</w:t>
      </w:r>
      <w:r w:rsidR="00571C70">
        <w:rPr>
          <w:szCs w:val="24"/>
          <w:lang w:val="pl-PL"/>
        </w:rPr>
        <w:t xml:space="preserve"> se od vlastitih prihoda i donacija, sredstava od MZOM-a</w:t>
      </w:r>
      <w:r w:rsidR="0078348B">
        <w:rPr>
          <w:szCs w:val="24"/>
          <w:lang w:val="pl-PL"/>
        </w:rPr>
        <w:t xml:space="preserve"> te od Grada Pule. U narednom razdoblju </w:t>
      </w:r>
      <w:r w:rsidR="00097587" w:rsidRPr="00B661CB">
        <w:rPr>
          <w:szCs w:val="24"/>
          <w:lang w:val="pl-PL"/>
        </w:rPr>
        <w:t>Istarska županija</w:t>
      </w:r>
      <w:r w:rsidR="0078348B">
        <w:rPr>
          <w:szCs w:val="24"/>
          <w:lang w:val="pl-PL"/>
        </w:rPr>
        <w:t xml:space="preserve"> i </w:t>
      </w:r>
      <w:r w:rsidR="00097587" w:rsidRPr="00B661CB">
        <w:rPr>
          <w:szCs w:val="24"/>
          <w:lang w:val="pl-PL"/>
        </w:rPr>
        <w:t xml:space="preserve"> </w:t>
      </w:r>
      <w:r w:rsidR="0078348B" w:rsidRPr="00B661CB">
        <w:rPr>
          <w:szCs w:val="24"/>
          <w:lang w:val="pl-PL"/>
        </w:rPr>
        <w:t>Ministarstva znanosti, obrazovanja i mladih</w:t>
      </w:r>
      <w:r w:rsidR="0078348B">
        <w:rPr>
          <w:szCs w:val="24"/>
          <w:lang w:val="pl-PL"/>
        </w:rPr>
        <w:t xml:space="preserve"> nam trebaju </w:t>
      </w:r>
      <w:r w:rsidR="0078348B" w:rsidRPr="00B661CB">
        <w:rPr>
          <w:szCs w:val="24"/>
          <w:lang w:val="pl-PL"/>
        </w:rPr>
        <w:t xml:space="preserve">doznačiti </w:t>
      </w:r>
      <w:r w:rsidR="0078348B">
        <w:rPr>
          <w:szCs w:val="24"/>
          <w:lang w:val="pl-PL"/>
        </w:rPr>
        <w:t>sredstva za materijalne rashode te plaće zaposlenima.</w:t>
      </w:r>
    </w:p>
    <w:p w:rsidR="00E75220" w:rsidRPr="00B661CB" w:rsidRDefault="00E75220" w:rsidP="00D73AED">
      <w:pPr>
        <w:pStyle w:val="Uvuenotijeloteksta"/>
        <w:ind w:firstLine="0"/>
        <w:jc w:val="left"/>
        <w:textAlignment w:val="baseline"/>
        <w:rPr>
          <w:szCs w:val="24"/>
          <w:lang w:val="pl-PL"/>
        </w:rPr>
      </w:pPr>
    </w:p>
    <w:p w:rsidR="006D1960" w:rsidRPr="00456A79" w:rsidRDefault="006D1960" w:rsidP="006D1960">
      <w:pPr>
        <w:spacing w:before="120"/>
        <w:rPr>
          <w:rFonts w:eastAsia="Calibri"/>
          <w:b/>
          <w:lang w:eastAsia="en-US"/>
        </w:rPr>
      </w:pPr>
      <w:r w:rsidRPr="00456A79">
        <w:rPr>
          <w:rFonts w:eastAsia="Calibri"/>
          <w:b/>
          <w:lang w:eastAsia="en-US"/>
        </w:rPr>
        <w:t>OBRAZLOŽENJE POSEBNOG DIJELA FINANCIJSKOG PLANA</w:t>
      </w:r>
    </w:p>
    <w:p w:rsidR="006D1960" w:rsidRPr="00456A79" w:rsidRDefault="006D1960" w:rsidP="006D1960"/>
    <w:p w:rsidR="006D1960" w:rsidRPr="00456A79" w:rsidRDefault="006D1960" w:rsidP="006D1960">
      <w:pPr>
        <w:numPr>
          <w:ilvl w:val="0"/>
          <w:numId w:val="3"/>
        </w:numPr>
        <w:spacing w:after="160"/>
        <w:rPr>
          <w:rFonts w:eastAsia="Calibri"/>
          <w:b/>
          <w:color w:val="000000"/>
          <w:lang w:eastAsia="en-US"/>
        </w:rPr>
      </w:pPr>
      <w:r w:rsidRPr="00456A79">
        <w:rPr>
          <w:rFonts w:eastAsia="Calibri"/>
          <w:b/>
          <w:color w:val="000000"/>
          <w:lang w:eastAsia="en-US"/>
        </w:rPr>
        <w:t>PROGRAM</w:t>
      </w:r>
      <w:r w:rsidRPr="00456A79">
        <w:rPr>
          <w:rFonts w:eastAsia="Calibri"/>
          <w:color w:val="000000"/>
          <w:lang w:eastAsia="en-US"/>
        </w:rPr>
        <w:t xml:space="preserve"> </w:t>
      </w:r>
      <w:r w:rsidRPr="00456A79">
        <w:rPr>
          <w:rFonts w:eastAsia="Calibri"/>
          <w:b/>
          <w:color w:val="000000"/>
          <w:lang w:eastAsia="en-US"/>
        </w:rPr>
        <w:t>2201: REDOVNA DJELATNOST SREDNJIH ŠKOLA - MINIMALNI STANDARDI</w:t>
      </w:r>
    </w:p>
    <w:p w:rsidR="006D1960" w:rsidRPr="00456A79" w:rsidRDefault="006D1960" w:rsidP="006D1960">
      <w:r w:rsidRPr="00456A79">
        <w:t>Redovna djelatnost u školi se odvija kroz četiri aktivnosti: Materijalni rashodi SŠ po kriterijima, Materijalni rashodi SŠ po stvarnom trošku, Materijalni rashodi SŠ - drugi izvori te Plaće i drugi rashodi za zaposlene srednjih škola. Izvori financiranja su: Istarska županija, Ministarstvo znanosti</w:t>
      </w:r>
      <w:r>
        <w:t>,</w:t>
      </w:r>
      <w:r w:rsidRPr="00456A79">
        <w:t xml:space="preserve"> obrazovanja</w:t>
      </w:r>
      <w:r>
        <w:t xml:space="preserve"> i mladih</w:t>
      </w:r>
      <w:r w:rsidRPr="00456A79">
        <w:t xml:space="preserve"> te vlastiti prihodi. Istarska županija financira materijalne rashode koji nastaju u redovnom poslovanju škole po kriterijima i po stvarnom trošku. MZO financira plaće zaposlenima te druge rashode za zaposlene i učenike. Vlastiti prihodi škole te prihodi za posebne namjene i donacije koriste se za tekuće i investicijsko održavanje, nabavu opreme te za isplate zaposlenima koji rade u obrazovanju odraslih. </w:t>
      </w:r>
    </w:p>
    <w:p w:rsidR="006D1960" w:rsidRPr="00456A79" w:rsidRDefault="006D1960" w:rsidP="006D1960"/>
    <w:p w:rsidR="006D1960" w:rsidRPr="00456A79" w:rsidRDefault="006D1960" w:rsidP="006D1960">
      <w:pPr>
        <w:numPr>
          <w:ilvl w:val="1"/>
          <w:numId w:val="2"/>
        </w:numPr>
        <w:spacing w:after="160"/>
        <w:rPr>
          <w:rFonts w:eastAsia="Calibri"/>
          <w:b/>
          <w:color w:val="000000"/>
          <w:lang w:eastAsia="en-US"/>
        </w:rPr>
      </w:pPr>
      <w:r w:rsidRPr="00456A79">
        <w:rPr>
          <w:rFonts w:eastAsia="Calibri"/>
          <w:b/>
          <w:color w:val="000000"/>
          <w:lang w:eastAsia="en-US"/>
        </w:rPr>
        <w:t xml:space="preserve">A220101 Materijalni rashodi SŠ po kriterijima </w:t>
      </w:r>
    </w:p>
    <w:p w:rsidR="006D1960" w:rsidRPr="00456A79" w:rsidRDefault="006D1960" w:rsidP="006D1960">
      <w:bookmarkStart w:id="1" w:name="_Hlk115639950"/>
      <w:r w:rsidRPr="00456A79">
        <w:t>Istarska županija vrši financiranje troškova za naknadu troškova zaposlenima, rashoda za materijal i energiju, rashoda za usluge i ostalih rashoda radi optimalnog funkcioniranja nastavnog procesa i održavanje postojeće opreme radi sigurnosti djece i zaposlenika. Ta sredstva doznačuju se mjesečno i to na temelju broja učenika i razrednih odjeljenja a na temelju Odluke o kriterijima, mjerilima i načinu financiranja decentraliziranih funkcija srednjih škola.</w:t>
      </w:r>
    </w:p>
    <w:p w:rsidR="006D1960" w:rsidRPr="00456A79" w:rsidRDefault="006D1960" w:rsidP="006D1960"/>
    <w:p w:rsidR="006D1960" w:rsidRPr="00456A79" w:rsidRDefault="006D1960" w:rsidP="006D1960">
      <w:pPr>
        <w:numPr>
          <w:ilvl w:val="1"/>
          <w:numId w:val="2"/>
        </w:numPr>
        <w:spacing w:after="160"/>
        <w:rPr>
          <w:rFonts w:eastAsia="Calibri"/>
          <w:b/>
          <w:color w:val="000000"/>
          <w:lang w:eastAsia="en-US"/>
        </w:rPr>
      </w:pPr>
      <w:r w:rsidRPr="00456A79">
        <w:rPr>
          <w:rFonts w:eastAsia="Calibri"/>
          <w:b/>
          <w:color w:val="000000"/>
          <w:lang w:eastAsia="en-US"/>
        </w:rPr>
        <w:t xml:space="preserve">A220102 Materijalni rashodi SŠ po stvarnom trošku </w:t>
      </w:r>
    </w:p>
    <w:p w:rsidR="006D1960" w:rsidRPr="00456A79" w:rsidRDefault="006D1960" w:rsidP="006D1960">
      <w:r w:rsidRPr="00456A79">
        <w:t xml:space="preserve">Izvor financiranja je Istarska županija koja nam doznačuje sredstva za naknadu troškova zaposlenima - prijevoza i zdravstvenih pregleda, rashoda za energiju - plin i električnu energiju te za osiguranje imovine i zaposlenih. </w:t>
      </w:r>
    </w:p>
    <w:p w:rsidR="006D1960" w:rsidRPr="00456A79" w:rsidRDefault="006D1960" w:rsidP="006D1960"/>
    <w:p w:rsidR="006D1960" w:rsidRPr="00456A79" w:rsidRDefault="006D1960" w:rsidP="006D1960">
      <w:pPr>
        <w:numPr>
          <w:ilvl w:val="1"/>
          <w:numId w:val="2"/>
        </w:numPr>
        <w:spacing w:after="160"/>
        <w:rPr>
          <w:rFonts w:eastAsia="Calibri"/>
          <w:b/>
          <w:color w:val="000000"/>
          <w:lang w:eastAsia="en-US"/>
        </w:rPr>
      </w:pPr>
      <w:r w:rsidRPr="00456A79">
        <w:rPr>
          <w:rFonts w:eastAsia="Calibri"/>
          <w:b/>
          <w:color w:val="000000"/>
          <w:lang w:eastAsia="en-US"/>
        </w:rPr>
        <w:t>A220103 Materijalni rashodi SŠ - drugi izvori</w:t>
      </w:r>
    </w:p>
    <w:p w:rsidR="006D1960" w:rsidRPr="00456A79" w:rsidRDefault="006D1960" w:rsidP="006D1960">
      <w:r w:rsidRPr="00456A79">
        <w:t>Ovom aktivnosti financiraju se rashodi iz vastitih prihoda škole koji su ostvareni od obrazovanja odraslih, zakupa školske dvorane i učionica škole. Sredstva se koriste za plaćanje izdataka koji se javljaju u poslovanju vlastite djelatnosti, za troškove tekućeg i investicionog održavanja škole i nabavku opreme. Osim toga, tu spadaju i prihodi za posebne namjene i donacije.</w:t>
      </w:r>
    </w:p>
    <w:p w:rsidR="006D1960" w:rsidRPr="00456A79" w:rsidRDefault="006D1960" w:rsidP="006D1960"/>
    <w:p w:rsidR="006D1960" w:rsidRPr="00456A79" w:rsidRDefault="006D1960" w:rsidP="006D1960">
      <w:pPr>
        <w:numPr>
          <w:ilvl w:val="1"/>
          <w:numId w:val="2"/>
        </w:numPr>
        <w:spacing w:after="160"/>
        <w:rPr>
          <w:rFonts w:eastAsia="Calibri"/>
          <w:b/>
          <w:color w:val="000000"/>
          <w:lang w:eastAsia="en-US"/>
        </w:rPr>
      </w:pPr>
      <w:r w:rsidRPr="00456A79">
        <w:t xml:space="preserve"> </w:t>
      </w:r>
      <w:r w:rsidRPr="00456A79">
        <w:rPr>
          <w:rFonts w:eastAsia="Calibri"/>
          <w:b/>
          <w:color w:val="000000"/>
          <w:lang w:eastAsia="en-US"/>
        </w:rPr>
        <w:t>A220104 Plaća i drugi rashodi za zaposlene SŠ</w:t>
      </w:r>
    </w:p>
    <w:p w:rsidR="006D1960" w:rsidRPr="00456A79" w:rsidRDefault="006D1960" w:rsidP="006D1960">
      <w:r w:rsidRPr="00456A79">
        <w:t xml:space="preserve">MZO financira plaće zaposlenima za redovan rad, prekovremeni rad, za posebne uvjete rada te za doprinose na plaće. Također, financira ostale rashode za zaposlene kao što su jubilarne </w:t>
      </w:r>
      <w:r w:rsidRPr="00456A79">
        <w:lastRenderedPageBreak/>
        <w:t>nagrade, darovi, otpremnine, pomoći, regres i dr. prava temeljem Ugovora o radu, Zakona o plaćama u javnim službama, Uredbe o nazivima radnih mjesta i koeficijentima složenosti poslova u javnim službama, Kolektivnim ugovorima i ostalim pozitivnim pravnim propisima. Osim toga doznačuje nam sredstva koja su vezana za rad sa učenicima kao što su nabavka knjiga i dijagnostičkih instrumenata u svrhu psihološke, socijalno pedagoške, edukacijsko - rehabilitacijske procjene funkcionalnih sposobnosti i mentalnog zdravlja učenika.</w:t>
      </w:r>
    </w:p>
    <w:p w:rsidR="006D1960" w:rsidRPr="00456A79" w:rsidRDefault="006D1960" w:rsidP="006D1960">
      <w:pPr>
        <w:rPr>
          <w:rFonts w:eastAsia="Calibri"/>
          <w:color w:val="000000"/>
          <w:lang w:eastAsia="en-US"/>
        </w:rPr>
      </w:pPr>
    </w:p>
    <w:p w:rsidR="006D1960" w:rsidRPr="00456A79" w:rsidRDefault="006D1960" w:rsidP="006D1960">
      <w:pPr>
        <w:jc w:val="both"/>
        <w:rPr>
          <w:b/>
          <w:bCs/>
        </w:rPr>
      </w:pPr>
      <w:r w:rsidRPr="00456A79">
        <w:rPr>
          <w:b/>
          <w:bCs/>
        </w:rPr>
        <w:t xml:space="preserve">CILJ USPJEŠNOSTI </w:t>
      </w:r>
    </w:p>
    <w:p w:rsidR="006D1960" w:rsidRPr="00456A79" w:rsidRDefault="006D1960" w:rsidP="006D1960">
      <w:pPr>
        <w:rPr>
          <w:bCs/>
        </w:rPr>
      </w:pPr>
      <w:r w:rsidRPr="00456A79">
        <w:rPr>
          <w:bCs/>
        </w:rPr>
        <w:t>Usklađeno s Provedbenim programom Istarske županije 2022.-2025. godine, šifra mjere 2.1.2. Osiguranje i poboljšanje dostupnosti odgoja i obrazovanja djeci i roditeljima/starateljima.</w:t>
      </w:r>
    </w:p>
    <w:p w:rsidR="006D1960" w:rsidRPr="00456A79" w:rsidRDefault="006D1960" w:rsidP="006D1960">
      <w:r w:rsidRPr="00456A79">
        <w:t xml:space="preserve">Redovno se ulaže u sigurnost učenika i zaposlenika za optimalno funkcioniranje nastavnog procesa i tekuće održavanje postojeće opreme radi sigurnosti djece i zaposlenih. Prioritet škole je kvalitetno obrazovanje i odgoj učenika što ostvarujemo stalnim usavršavanjem nastavnika (seminari, stručni skupovi, sastanci županijskih stručnih vijeća, razmjena dobre prakse putem projekata) i podizanjem nastavnog standarda na višu razinu. Poticanje učenika na izražavanje kreativnosti, talenata i sposobnosti kroz uključivanje u projekte i natjecanja.    </w:t>
      </w:r>
    </w:p>
    <w:p w:rsidR="006D1960" w:rsidRPr="00456A79" w:rsidRDefault="006D1960" w:rsidP="006D1960">
      <w:pPr>
        <w:rPr>
          <w:bCs/>
        </w:rPr>
      </w:pPr>
    </w:p>
    <w:p w:rsidR="006D1960" w:rsidRPr="00456A79" w:rsidRDefault="006D1960" w:rsidP="006D1960">
      <w:pPr>
        <w:rPr>
          <w:bCs/>
        </w:rPr>
      </w:pPr>
      <w:r w:rsidRPr="00456A79">
        <w:rPr>
          <w:bCs/>
        </w:rPr>
        <w:t>Za ovaj program Izvršenje za period 01-12/202</w:t>
      </w:r>
      <w:r>
        <w:rPr>
          <w:bCs/>
        </w:rPr>
        <w:t>5</w:t>
      </w:r>
      <w:r w:rsidRPr="00456A79">
        <w:rPr>
          <w:bCs/>
        </w:rPr>
        <w:t>. iznosi 1.</w:t>
      </w:r>
      <w:r>
        <w:rPr>
          <w:bCs/>
        </w:rPr>
        <w:t>23</w:t>
      </w:r>
      <w:r w:rsidRPr="00456A79">
        <w:rPr>
          <w:bCs/>
        </w:rPr>
        <w:t>1.</w:t>
      </w:r>
      <w:r>
        <w:rPr>
          <w:bCs/>
        </w:rPr>
        <w:t>68</w:t>
      </w:r>
      <w:r w:rsidRPr="00456A79">
        <w:rPr>
          <w:bCs/>
        </w:rPr>
        <w:t>5,</w:t>
      </w:r>
      <w:r>
        <w:rPr>
          <w:bCs/>
        </w:rPr>
        <w:t>32</w:t>
      </w:r>
      <w:r w:rsidRPr="00456A79">
        <w:rPr>
          <w:bCs/>
        </w:rPr>
        <w:t xml:space="preserve"> EUR, što u odnosu na Plan za 202</w:t>
      </w:r>
      <w:r>
        <w:rPr>
          <w:bCs/>
        </w:rPr>
        <w:t>5</w:t>
      </w:r>
      <w:r w:rsidRPr="00456A79">
        <w:rPr>
          <w:bCs/>
        </w:rPr>
        <w:t xml:space="preserve">. iznosi povećanje od </w:t>
      </w:r>
      <w:r>
        <w:rPr>
          <w:bCs/>
        </w:rPr>
        <w:t>6</w:t>
      </w:r>
      <w:r w:rsidRPr="00456A79">
        <w:rPr>
          <w:bCs/>
        </w:rPr>
        <w:t>,</w:t>
      </w:r>
      <w:r>
        <w:rPr>
          <w:bCs/>
        </w:rPr>
        <w:t>29</w:t>
      </w:r>
      <w:r w:rsidRPr="00456A79">
        <w:rPr>
          <w:bCs/>
        </w:rPr>
        <w:t xml:space="preserve">%.  Najveće razlike u odnosu na plan ostvarene su kod </w:t>
      </w:r>
      <w:r>
        <w:rPr>
          <w:bCs/>
        </w:rPr>
        <w:t xml:space="preserve">Plaća i </w:t>
      </w:r>
      <w:r w:rsidRPr="00456A79">
        <w:rPr>
          <w:bCs/>
        </w:rPr>
        <w:t xml:space="preserve">drugih </w:t>
      </w:r>
      <w:r>
        <w:rPr>
          <w:bCs/>
        </w:rPr>
        <w:t>rashoda za zaposlene</w:t>
      </w:r>
      <w:r w:rsidRPr="00456A79">
        <w:rPr>
          <w:bCs/>
        </w:rPr>
        <w:t>.</w:t>
      </w:r>
      <w:r>
        <w:rPr>
          <w:bCs/>
        </w:rPr>
        <w:t xml:space="preserve"> Razlog tome je kontinuirano povećanje plaća djelatnika. </w:t>
      </w:r>
      <w:r w:rsidRPr="00456A79">
        <w:rPr>
          <w:bCs/>
        </w:rPr>
        <w:t xml:space="preserve">Znatno manje je utrošeno u odnosu na plan od vlastitih prihoda te od prihoda za ostale namjene te će se neutrošena sredstva prenijeti u iduće obračunsko razdoblje. 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72"/>
        <w:gridCol w:w="1981"/>
        <w:gridCol w:w="2268"/>
        <w:gridCol w:w="2551"/>
      </w:tblGrid>
      <w:tr w:rsidR="006D1960" w:rsidRPr="00456A79" w:rsidTr="00234A6B">
        <w:trPr>
          <w:trHeight w:val="503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</w:rPr>
            </w:pPr>
            <w:r w:rsidRPr="00456A79">
              <w:rPr>
                <w:b/>
                <w:bCs/>
              </w:rPr>
              <w:t>Naziv prioriteta/posebnog cilja/ mjere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</w:rPr>
            </w:pPr>
            <w:r w:rsidRPr="00456A79">
              <w:rPr>
                <w:b/>
                <w:bCs/>
              </w:rPr>
              <w:t>Planirana sredstva u proračunu Istarske županije</w:t>
            </w:r>
          </w:p>
        </w:tc>
      </w:tr>
      <w:tr w:rsidR="006D1960" w:rsidRPr="00456A79" w:rsidTr="00234A6B">
        <w:trPr>
          <w:trHeight w:val="769"/>
        </w:trPr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b/>
                <w:bCs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Program u Proračunu IŽ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Poveznica na izvor financiranja u Proračunu IŽ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Procijenjeni trošak provedbe mjere</w:t>
            </w:r>
            <w:r w:rsidRPr="00456A79">
              <w:br/>
              <w:t>(u EUR)</w:t>
            </w:r>
          </w:p>
        </w:tc>
      </w:tr>
      <w:tr w:rsidR="006D1960" w:rsidRPr="00456A79" w:rsidTr="00234A6B">
        <w:trPr>
          <w:trHeight w:val="61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D1960" w:rsidRPr="00456A79" w:rsidRDefault="006D1960" w:rsidP="00234A6B">
            <w:pPr>
              <w:rPr>
                <w:b/>
                <w:bCs/>
              </w:rPr>
            </w:pPr>
            <w:r w:rsidRPr="00456A79">
              <w:rPr>
                <w:b/>
                <w:bCs/>
              </w:rPr>
              <w:t>2. PAMETNA REGIJA ZNANJA PREPOZNATLJIVA PO VISOKOJ KVALITETI ŽIVOTA, DOSTUPNOM OBRAZOVANJU I UKLJUČIVOSTI</w:t>
            </w:r>
          </w:p>
        </w:tc>
      </w:tr>
      <w:tr w:rsidR="006D1960" w:rsidRPr="00456A79" w:rsidTr="00234A6B">
        <w:trPr>
          <w:trHeight w:val="469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1960" w:rsidRPr="00456A79" w:rsidRDefault="006D1960" w:rsidP="00234A6B">
            <w:pPr>
              <w:rPr>
                <w:b/>
                <w:bCs/>
              </w:rPr>
            </w:pPr>
            <w:r w:rsidRPr="00456A79">
              <w:rPr>
                <w:b/>
                <w:bCs/>
              </w:rPr>
              <w:t>2.1. Osiguranje visokih standarda i dostupnosti obrazovanja</w:t>
            </w:r>
          </w:p>
        </w:tc>
      </w:tr>
      <w:tr w:rsidR="006D1960" w:rsidRPr="00456A79" w:rsidTr="00234A6B">
        <w:trPr>
          <w:trHeight w:val="972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60" w:rsidRPr="00456A79" w:rsidRDefault="006D1960" w:rsidP="00234A6B">
            <w:r w:rsidRPr="00456A79">
              <w:t>2.1.2. Osiguranje i poboljšanje dostupnosti odgoja i obrazovanja djeci i njihovim roditeljima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60" w:rsidRPr="00456A79" w:rsidRDefault="006D1960" w:rsidP="00234A6B">
            <w:r w:rsidRPr="00456A79">
              <w:t>2201 Redovna djelatnost srednjih škola - minimalni standard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A220101; A220102; A220103; A220104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1.047.542,50</w:t>
            </w:r>
          </w:p>
        </w:tc>
      </w:tr>
      <w:tr w:rsidR="006D1960" w:rsidRPr="00456A79" w:rsidTr="00234A6B">
        <w:trPr>
          <w:trHeight w:val="469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D1960" w:rsidRPr="00456A79" w:rsidRDefault="006D1960" w:rsidP="00234A6B">
            <w:pPr>
              <w:jc w:val="right"/>
              <w:rPr>
                <w:b/>
                <w:bCs/>
              </w:rPr>
            </w:pPr>
            <w:r w:rsidRPr="00456A79">
              <w:rPr>
                <w:b/>
                <w:bCs/>
              </w:rPr>
              <w:t>UKUPNO: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1.047.542,50</w:t>
            </w:r>
          </w:p>
        </w:tc>
      </w:tr>
    </w:tbl>
    <w:p w:rsidR="006D1960" w:rsidRPr="00456A79" w:rsidRDefault="006D1960" w:rsidP="006D1960">
      <w:pPr>
        <w:jc w:val="both"/>
        <w:rPr>
          <w:b/>
          <w:bCs/>
        </w:rPr>
      </w:pPr>
    </w:p>
    <w:p w:rsidR="006D1960" w:rsidRPr="00456A79" w:rsidRDefault="006D1960" w:rsidP="006D1960">
      <w:pPr>
        <w:jc w:val="both"/>
        <w:rPr>
          <w:b/>
          <w:bCs/>
        </w:rPr>
      </w:pPr>
      <w:r w:rsidRPr="00456A79">
        <w:rPr>
          <w:b/>
          <w:bCs/>
        </w:rPr>
        <w:t>POKAZATELJI USPJEŠNOSTI</w:t>
      </w:r>
    </w:p>
    <w:p w:rsidR="006D1960" w:rsidRPr="00456A79" w:rsidRDefault="006D1960" w:rsidP="006D1960">
      <w:r w:rsidRPr="00456A79">
        <w:t xml:space="preserve">Temeljem godišnjeg plana i programa rada financiranje se vrši za obavljanje predviđenih aktivnosti. Praćenje uspješnosti velikog broja učenika koji završavaju ovu školu te se odmah po završetku škole zapošljavaju u struci ukazuje na kvalitetan rada naših zaposlenika. </w:t>
      </w:r>
    </w:p>
    <w:tbl>
      <w:tblPr>
        <w:tblpPr w:leftFromText="180" w:rightFromText="180" w:vertAnchor="text" w:tblpY="1"/>
        <w:tblOverlap w:val="never"/>
        <w:tblW w:w="9335" w:type="dxa"/>
        <w:tblInd w:w="93" w:type="dxa"/>
        <w:tblLook w:val="04A0" w:firstRow="1" w:lastRow="0" w:firstColumn="1" w:lastColumn="0" w:noHBand="0" w:noVBand="1"/>
      </w:tblPr>
      <w:tblGrid>
        <w:gridCol w:w="4224"/>
        <w:gridCol w:w="1353"/>
        <w:gridCol w:w="1804"/>
        <w:gridCol w:w="1954"/>
      </w:tblGrid>
      <w:tr w:rsidR="006D1960" w:rsidRPr="00456A79" w:rsidTr="00234A6B">
        <w:trPr>
          <w:trHeight w:val="1085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456A79">
              <w:rPr>
                <w:b/>
                <w:bCs/>
                <w:color w:val="000000"/>
              </w:rPr>
              <w:t>Pokazatelj rezultata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456A79">
              <w:rPr>
                <w:b/>
                <w:bCs/>
                <w:color w:val="000000"/>
              </w:rPr>
              <w:t xml:space="preserve">Početna vrijednost </w:t>
            </w:r>
            <w:r>
              <w:rPr>
                <w:b/>
                <w:bCs/>
                <w:color w:val="000000"/>
              </w:rPr>
              <w:t>2024.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456A79">
              <w:rPr>
                <w:b/>
                <w:bCs/>
                <w:color w:val="000000"/>
              </w:rPr>
              <w:t>Ciljna vrijednost 202</w:t>
            </w: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456A79">
              <w:rPr>
                <w:b/>
                <w:bCs/>
                <w:color w:val="000000"/>
              </w:rPr>
              <w:t>Ostvarena vrijednost</w:t>
            </w:r>
            <w:r w:rsidRPr="00456A79">
              <w:rPr>
                <w:b/>
                <w:bCs/>
                <w:color w:val="000000"/>
              </w:rPr>
              <w:br/>
              <w:t>u periodu</w:t>
            </w:r>
            <w:r w:rsidRPr="00456A79">
              <w:rPr>
                <w:b/>
                <w:bCs/>
                <w:color w:val="000000"/>
              </w:rPr>
              <w:br/>
              <w:t>01-12/202</w:t>
            </w:r>
            <w:r>
              <w:rPr>
                <w:b/>
                <w:bCs/>
                <w:color w:val="000000"/>
              </w:rPr>
              <w:t>5.</w:t>
            </w:r>
          </w:p>
        </w:tc>
      </w:tr>
      <w:tr w:rsidR="006D1960" w:rsidRPr="00456A79" w:rsidTr="00234A6B">
        <w:trPr>
          <w:trHeight w:val="297"/>
        </w:trPr>
        <w:tc>
          <w:tcPr>
            <w:tcW w:w="4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  <w:r w:rsidRPr="00456A79">
              <w:rPr>
                <w:color w:val="000000"/>
              </w:rPr>
              <w:t>Broj učenika upisanih u srednjoškolsko obrazovanje</w:t>
            </w:r>
          </w:p>
        </w:tc>
        <w:tc>
          <w:tcPr>
            <w:tcW w:w="135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color w:val="000000"/>
              </w:rPr>
            </w:pPr>
            <w:r w:rsidRPr="00456A79">
              <w:rPr>
                <w:color w:val="000000"/>
              </w:rPr>
              <w:t> </w:t>
            </w:r>
            <w:r>
              <w:rPr>
                <w:color w:val="000000"/>
              </w:rPr>
              <w:t>257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>
              <w:t>250</w:t>
            </w:r>
          </w:p>
        </w:tc>
        <w:tc>
          <w:tcPr>
            <w:tcW w:w="1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>
              <w:t>244</w:t>
            </w:r>
          </w:p>
        </w:tc>
      </w:tr>
      <w:tr w:rsidR="006D1960" w:rsidRPr="00456A79" w:rsidTr="00234A6B">
        <w:trPr>
          <w:trHeight w:val="312"/>
        </w:trPr>
        <w:tc>
          <w:tcPr>
            <w:tcW w:w="4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  <w:tc>
          <w:tcPr>
            <w:tcW w:w="135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/>
        </w:tc>
        <w:tc>
          <w:tcPr>
            <w:tcW w:w="1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/>
        </w:tc>
      </w:tr>
      <w:tr w:rsidR="006D1960" w:rsidRPr="00456A79" w:rsidTr="00234A6B">
        <w:trPr>
          <w:trHeight w:val="297"/>
        </w:trPr>
        <w:tc>
          <w:tcPr>
            <w:tcW w:w="4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  <w:r w:rsidRPr="00456A79">
              <w:rPr>
                <w:color w:val="000000"/>
              </w:rPr>
              <w:t xml:space="preserve">Broj učenika koji su uspješno završili </w:t>
            </w:r>
            <w:r w:rsidRPr="00456A79">
              <w:rPr>
                <w:color w:val="000000"/>
              </w:rPr>
              <w:lastRenderedPageBreak/>
              <w:t>srednjoškolsko obrazovanje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245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2</w:t>
            </w:r>
            <w:r>
              <w:t>48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>
              <w:t>238</w:t>
            </w:r>
          </w:p>
        </w:tc>
      </w:tr>
      <w:tr w:rsidR="006D1960" w:rsidRPr="00456A79" w:rsidTr="00234A6B">
        <w:trPr>
          <w:trHeight w:val="312"/>
        </w:trPr>
        <w:tc>
          <w:tcPr>
            <w:tcW w:w="4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</w:tr>
    </w:tbl>
    <w:p w:rsidR="006D1960" w:rsidRDefault="006D1960" w:rsidP="006D1960">
      <w:pPr>
        <w:jc w:val="both"/>
        <w:rPr>
          <w:bCs/>
        </w:rPr>
      </w:pPr>
    </w:p>
    <w:p w:rsidR="006D1960" w:rsidRPr="00456A79" w:rsidRDefault="006D1960" w:rsidP="006D1960">
      <w:pPr>
        <w:jc w:val="both"/>
        <w:rPr>
          <w:bCs/>
        </w:rPr>
      </w:pPr>
    </w:p>
    <w:bookmarkEnd w:id="1"/>
    <w:p w:rsidR="006D1960" w:rsidRPr="00456A79" w:rsidRDefault="006D1960" w:rsidP="006D1960">
      <w:pPr>
        <w:numPr>
          <w:ilvl w:val="0"/>
          <w:numId w:val="2"/>
        </w:numPr>
        <w:spacing w:after="160"/>
        <w:rPr>
          <w:rFonts w:eastAsia="Calibri"/>
          <w:color w:val="000000"/>
          <w:lang w:eastAsia="en-US"/>
        </w:rPr>
      </w:pPr>
      <w:r w:rsidRPr="00456A79">
        <w:rPr>
          <w:rFonts w:eastAsia="Calibri"/>
          <w:b/>
          <w:color w:val="000000"/>
          <w:lang w:eastAsia="en-US"/>
        </w:rPr>
        <w:t>PROGRAM 2301: PROGRAMI OBRAZOVANJA IZNAD STANDARDA</w:t>
      </w:r>
    </w:p>
    <w:p w:rsidR="006D1960" w:rsidRPr="00456A79" w:rsidRDefault="006D1960" w:rsidP="006D1960">
      <w:r w:rsidRPr="00456A79">
        <w:t xml:space="preserve">Programom se želi pružiti financijska podrška za razvoj strukovnih standarda zanimanja, kvalifikacija i kurikuluma. Program se realizira kroz aktivnosti Materijalni troškovi iznad standarda, </w:t>
      </w:r>
      <w:r>
        <w:t>Pomoćnici u nastavi, Ostali programi i projekti, D</w:t>
      </w:r>
      <w:r w:rsidRPr="00456A79">
        <w:t xml:space="preserve">ržavna natjecanja </w:t>
      </w:r>
      <w:r>
        <w:t>te</w:t>
      </w:r>
      <w:r w:rsidRPr="00456A79">
        <w:t xml:space="preserve"> Zavičajn</w:t>
      </w:r>
      <w:r>
        <w:t>a</w:t>
      </w:r>
      <w:r w:rsidRPr="00456A79">
        <w:t xml:space="preserve"> nastav</w:t>
      </w:r>
      <w:r>
        <w:t>a</w:t>
      </w:r>
      <w:r w:rsidRPr="00456A79">
        <w:t xml:space="preserve">. </w:t>
      </w:r>
      <w:r>
        <w:t>U odnosu na Plan 2025. godine ostvaren je za 96,99%</w:t>
      </w:r>
    </w:p>
    <w:p w:rsidR="006D1960" w:rsidRPr="00456A79" w:rsidRDefault="006D1960" w:rsidP="006D1960">
      <w:pPr>
        <w:rPr>
          <w:b/>
        </w:rPr>
      </w:pPr>
      <w:r w:rsidRPr="00456A79">
        <w:rPr>
          <w:b/>
        </w:rPr>
        <w:t xml:space="preserve">2.1. </w:t>
      </w:r>
      <w:r w:rsidRPr="00456A79">
        <w:rPr>
          <w:b/>
        </w:rPr>
        <w:tab/>
        <w:t>A230101 MATERIJALNI TROŠKOVI IZNAD STANDARDA</w:t>
      </w:r>
    </w:p>
    <w:p w:rsidR="006D1960" w:rsidRDefault="006D1960" w:rsidP="006D1960">
      <w:r w:rsidRPr="00456A79">
        <w:t xml:space="preserve">Izvor financiranja su nenamjenski prihodi i primici koje nam </w:t>
      </w:r>
      <w:r>
        <w:t xml:space="preserve">je </w:t>
      </w:r>
      <w:r w:rsidRPr="00456A79">
        <w:t>Istarska županija doznač</w:t>
      </w:r>
      <w:r>
        <w:t>ila za nove računalne programe - njihovu isporuku, korištenje i mjesečno održavanje.</w:t>
      </w:r>
    </w:p>
    <w:p w:rsidR="006D1960" w:rsidRDefault="006D1960" w:rsidP="006D1960">
      <w:pPr>
        <w:rPr>
          <w:b/>
        </w:rPr>
      </w:pPr>
    </w:p>
    <w:p w:rsidR="006D1960" w:rsidRDefault="006D1960" w:rsidP="006D1960">
      <w:pPr>
        <w:rPr>
          <w:b/>
        </w:rPr>
      </w:pPr>
      <w:r w:rsidRPr="00456A79">
        <w:rPr>
          <w:b/>
        </w:rPr>
        <w:t>2.</w:t>
      </w:r>
      <w:r>
        <w:rPr>
          <w:b/>
        </w:rPr>
        <w:t>2</w:t>
      </w:r>
      <w:r w:rsidRPr="00456A79">
        <w:rPr>
          <w:b/>
        </w:rPr>
        <w:t xml:space="preserve">. </w:t>
      </w:r>
      <w:r w:rsidRPr="00456A79">
        <w:rPr>
          <w:b/>
        </w:rPr>
        <w:tab/>
        <w:t>A23010</w:t>
      </w:r>
      <w:r>
        <w:rPr>
          <w:b/>
        </w:rPr>
        <w:t>4</w:t>
      </w:r>
      <w:r w:rsidRPr="00456A79">
        <w:rPr>
          <w:b/>
        </w:rPr>
        <w:t xml:space="preserve"> </w:t>
      </w:r>
      <w:r>
        <w:rPr>
          <w:b/>
        </w:rPr>
        <w:t>POMOĆNICI U NASTAVI</w:t>
      </w:r>
    </w:p>
    <w:p w:rsidR="006D1960" w:rsidRDefault="006D1960" w:rsidP="006D1960">
      <w:r>
        <w:t>I</w:t>
      </w:r>
      <w:r w:rsidRPr="00456A79">
        <w:t>zvor financiranja su nenamjenski prihodi i primici koje nam Istarska županija doznač</w:t>
      </w:r>
      <w:r>
        <w:t xml:space="preserve">uje za plaće i ostale rashode za pomoćnike u nastavi </w:t>
      </w:r>
      <w:r w:rsidRPr="00454F88">
        <w:t>i stručnim komunikacijskim posrednicima</w:t>
      </w:r>
      <w:r>
        <w:t xml:space="preserve"> </w:t>
      </w:r>
      <w:r w:rsidRPr="00454F88">
        <w:t>tijekom odgojno-obrazovnog procesa</w:t>
      </w:r>
      <w:r>
        <w:t xml:space="preserve"> koji</w:t>
      </w:r>
      <w:r w:rsidRPr="00454F88">
        <w:t xml:space="preserve"> </w:t>
      </w:r>
      <w:r>
        <w:t xml:space="preserve">rade </w:t>
      </w:r>
      <w:r w:rsidRPr="00454F88">
        <w:t>s učenicima s teškoćama u razvoju</w:t>
      </w:r>
      <w:r>
        <w:t xml:space="preserve"> te na taj način</w:t>
      </w:r>
      <w:r w:rsidRPr="00454F88">
        <w:t xml:space="preserve"> poboljšava</w:t>
      </w:r>
      <w:r>
        <w:t>ju</w:t>
      </w:r>
      <w:r w:rsidRPr="00454F88">
        <w:t xml:space="preserve"> njihov odgojno-obrazovni uspjeh, potič</w:t>
      </w:r>
      <w:r>
        <w:t>u</w:t>
      </w:r>
      <w:r w:rsidRPr="00454F88">
        <w:t xml:space="preserve"> uspješniju socijalizaciju i emocionalno funkcioniranje</w:t>
      </w:r>
      <w:r>
        <w:t xml:space="preserve">. </w:t>
      </w:r>
    </w:p>
    <w:p w:rsidR="006D1960" w:rsidRDefault="006D1960" w:rsidP="006D1960"/>
    <w:p w:rsidR="006D1960" w:rsidRPr="00456A79" w:rsidRDefault="006D1960" w:rsidP="006D1960">
      <w:pPr>
        <w:rPr>
          <w:b/>
        </w:rPr>
      </w:pPr>
      <w:r w:rsidRPr="00456A79">
        <w:rPr>
          <w:b/>
        </w:rPr>
        <w:t>2.</w:t>
      </w:r>
      <w:r>
        <w:rPr>
          <w:b/>
        </w:rPr>
        <w:t>3</w:t>
      </w:r>
      <w:r w:rsidRPr="00456A79">
        <w:rPr>
          <w:b/>
        </w:rPr>
        <w:t xml:space="preserve">. </w:t>
      </w:r>
      <w:r w:rsidRPr="00456A79">
        <w:rPr>
          <w:b/>
        </w:rPr>
        <w:tab/>
        <w:t>A2301</w:t>
      </w:r>
      <w:r>
        <w:rPr>
          <w:b/>
        </w:rPr>
        <w:t>15</w:t>
      </w:r>
      <w:r w:rsidRPr="00456A79">
        <w:rPr>
          <w:b/>
        </w:rPr>
        <w:t xml:space="preserve"> </w:t>
      </w:r>
      <w:r>
        <w:rPr>
          <w:b/>
        </w:rPr>
        <w:t>OSTALI PROGRAMI I PROJEKTI</w:t>
      </w:r>
    </w:p>
    <w:p w:rsidR="006D1960" w:rsidRPr="00456A79" w:rsidRDefault="006D1960" w:rsidP="006D1960"/>
    <w:p w:rsidR="006D1960" w:rsidRDefault="006D1960" w:rsidP="006D1960">
      <w:r w:rsidRPr="00456A79">
        <w:t>MZO</w:t>
      </w:r>
      <w:r>
        <w:t xml:space="preserve"> nam je doznačila </w:t>
      </w:r>
      <w:r w:rsidRPr="00456A79">
        <w:t xml:space="preserve">sredstva </w:t>
      </w:r>
      <w:r>
        <w:t>za</w:t>
      </w:r>
      <w:r w:rsidRPr="008C3F5B">
        <w:t xml:space="preserve"> </w:t>
      </w:r>
      <w:r>
        <w:t>sredstva za jednog učenika pripadnika romske nacionalne manjine za sufinanciranje izvanučioničke nastave.</w:t>
      </w:r>
    </w:p>
    <w:p w:rsidR="006D1960" w:rsidRDefault="006D1960" w:rsidP="006D1960">
      <w:pPr>
        <w:rPr>
          <w:b/>
        </w:rPr>
      </w:pPr>
    </w:p>
    <w:p w:rsidR="006D1960" w:rsidRPr="00456A79" w:rsidRDefault="006D1960" w:rsidP="006D1960">
      <w:pPr>
        <w:rPr>
          <w:b/>
        </w:rPr>
      </w:pPr>
      <w:r w:rsidRPr="00456A79">
        <w:rPr>
          <w:b/>
        </w:rPr>
        <w:t>2.</w:t>
      </w:r>
      <w:r>
        <w:rPr>
          <w:b/>
        </w:rPr>
        <w:t>4</w:t>
      </w:r>
      <w:r w:rsidRPr="00456A79">
        <w:rPr>
          <w:b/>
        </w:rPr>
        <w:t xml:space="preserve">. </w:t>
      </w:r>
      <w:r w:rsidRPr="00456A79">
        <w:rPr>
          <w:b/>
        </w:rPr>
        <w:tab/>
        <w:t>A230176 DRŽAVNA NATJECANJA</w:t>
      </w:r>
    </w:p>
    <w:p w:rsidR="006D1960" w:rsidRPr="00456A79" w:rsidRDefault="006D1960" w:rsidP="006D1960"/>
    <w:p w:rsidR="006D1960" w:rsidRPr="00456A79" w:rsidRDefault="006D1960" w:rsidP="006D1960">
      <w:r w:rsidRPr="00456A79">
        <w:t>Svake godine u Zagrebu se održava Državno natjecanje učenika strukovnih škola – WorldSkills Croatia. Kao i više puta do sada i ove godine smo sudjelovali na tom natjecanju te smo od MZO dobili sredstva za odlazak u Zgreb na natjecanje.</w:t>
      </w:r>
    </w:p>
    <w:p w:rsidR="006D1960" w:rsidRPr="00456A79" w:rsidRDefault="006D1960" w:rsidP="006D1960">
      <w:pPr>
        <w:rPr>
          <w:b/>
        </w:rPr>
      </w:pPr>
    </w:p>
    <w:p w:rsidR="006D1960" w:rsidRPr="00456A79" w:rsidRDefault="006D1960" w:rsidP="006D1960">
      <w:pPr>
        <w:rPr>
          <w:b/>
        </w:rPr>
      </w:pPr>
      <w:r>
        <w:rPr>
          <w:b/>
        </w:rPr>
        <w:t>2.5</w:t>
      </w:r>
      <w:r w:rsidRPr="00456A79">
        <w:rPr>
          <w:b/>
        </w:rPr>
        <w:t xml:space="preserve">. </w:t>
      </w:r>
      <w:r w:rsidRPr="00456A79">
        <w:rPr>
          <w:b/>
        </w:rPr>
        <w:tab/>
        <w:t>A230184 ZAVIČAJNA NASTAVA</w:t>
      </w:r>
    </w:p>
    <w:p w:rsidR="006D1960" w:rsidRPr="00456A79" w:rsidRDefault="006D1960" w:rsidP="006D1960"/>
    <w:p w:rsidR="006D1960" w:rsidRPr="008C3F5B" w:rsidRDefault="006D1960" w:rsidP="006D1960">
      <w:r w:rsidRPr="008C3F5B">
        <w:t>Zavičajnom nastavom pod nazivom Zidanje kamenom u Istri nastavi</w:t>
      </w:r>
      <w:r>
        <w:t>lo</w:t>
      </w:r>
      <w:r w:rsidRPr="008C3F5B">
        <w:t xml:space="preserve"> se s uređenjem okoliša škole na način da se zida zid </w:t>
      </w:r>
      <w:r>
        <w:t>kažuna</w:t>
      </w:r>
      <w:r w:rsidRPr="008C3F5B">
        <w:t xml:space="preserve"> u okolišu škole. Putem ove aktivnosti učeni</w:t>
      </w:r>
      <w:r>
        <w:t>ci su stekli praktična znanja zidanja kažuna i obrade kamena</w:t>
      </w:r>
      <w:r w:rsidRPr="008C3F5B">
        <w:t xml:space="preserve"> kroz primjenu tradicionalnih alata</w:t>
      </w:r>
      <w:r>
        <w:t>.</w:t>
      </w:r>
    </w:p>
    <w:p w:rsidR="006D1960" w:rsidRDefault="006D1960" w:rsidP="006D1960">
      <w:pPr>
        <w:rPr>
          <w:rFonts w:ascii="Arial" w:hAnsi="Arial" w:cs="Arial"/>
          <w:sz w:val="22"/>
          <w:szCs w:val="22"/>
        </w:rPr>
      </w:pPr>
    </w:p>
    <w:p w:rsidR="006D1960" w:rsidRPr="00456A79" w:rsidRDefault="006D1960" w:rsidP="006D1960">
      <w:pPr>
        <w:jc w:val="both"/>
        <w:rPr>
          <w:b/>
          <w:bCs/>
        </w:rPr>
      </w:pPr>
      <w:r w:rsidRPr="00456A79">
        <w:rPr>
          <w:b/>
          <w:bCs/>
        </w:rPr>
        <w:t xml:space="preserve">CILJ USPJEŠNOSTI: </w:t>
      </w:r>
    </w:p>
    <w:p w:rsidR="006D1960" w:rsidRPr="00456A79" w:rsidRDefault="006D1960" w:rsidP="006D1960">
      <w:pPr>
        <w:rPr>
          <w:bCs/>
        </w:rPr>
      </w:pPr>
      <w:r w:rsidRPr="00456A79">
        <w:rPr>
          <w:bCs/>
        </w:rPr>
        <w:t>Usklađeno s provedbenim programom Istarske županije 2022.-2025. godine, šifra mjere 2.1.2. Osiguranje i poboljšanje dostupnosti odgoja i obrazovanja djeci i roditeljima/starateljima.</w:t>
      </w:r>
    </w:p>
    <w:p w:rsidR="006D1960" w:rsidRPr="00456A79" w:rsidRDefault="006D1960" w:rsidP="006D1960">
      <w:r w:rsidRPr="00456A79">
        <w:t>Praćenje uspješnosti velikog broja učenika koji se po završetku školovanja zapošljavaju u struci ukazuje na kvalitetan rada naših zaposlenika. Njegujemo stvaralaštvo, kreativnost, tradiciju i pružamo stručnu pomoć za što kvalitetniji osobni razvoj svakog učenika. Kroz projektne aktivnosti nastojimo da učenici razviju vještine i znanja potrebne za što lakše snalaženje i pronalaženje radnog mjesta na tržištu rada.</w:t>
      </w:r>
    </w:p>
    <w:p w:rsidR="006D1960" w:rsidRDefault="006D1960" w:rsidP="006D1960">
      <w:r w:rsidRPr="00456A79">
        <w:t xml:space="preserve">Godišnje Izvršenje ovog programa u iznosu od </w:t>
      </w:r>
      <w:r>
        <w:t>50</w:t>
      </w:r>
      <w:r w:rsidRPr="00456A79">
        <w:t>.</w:t>
      </w:r>
      <w:r>
        <w:t>901</w:t>
      </w:r>
      <w:r w:rsidRPr="00456A79">
        <w:t>,1</w:t>
      </w:r>
      <w:r>
        <w:t>2</w:t>
      </w:r>
      <w:r w:rsidRPr="00456A79">
        <w:t xml:space="preserve"> EUR u odnosu na Plan za 202</w:t>
      </w:r>
      <w:r>
        <w:t>5</w:t>
      </w:r>
      <w:r w:rsidRPr="00456A79">
        <w:t xml:space="preserve">. iznosi </w:t>
      </w:r>
      <w:r>
        <w:t>9</w:t>
      </w:r>
      <w:r w:rsidRPr="00456A79">
        <w:t>6,</w:t>
      </w:r>
      <w:r>
        <w:t>99</w:t>
      </w:r>
      <w:r w:rsidRPr="00456A79">
        <w:t xml:space="preserve">%. a razlog tome </w:t>
      </w:r>
      <w:r>
        <w:t>što planirana sredstva od MZOM-a za nabavu materijala za psihodijagnostiku te za udžbenike učeniku koji je korisnik zajamčene minimalne naknade nisu utrošena te je izvršen povrat tih sredstava.</w:t>
      </w:r>
    </w:p>
    <w:p w:rsidR="006D1960" w:rsidRPr="00456A79" w:rsidRDefault="006D1960" w:rsidP="006D1960"/>
    <w:tbl>
      <w:tblPr>
        <w:tblW w:w="9221" w:type="dxa"/>
        <w:tblInd w:w="108" w:type="dxa"/>
        <w:tblLook w:val="04A0" w:firstRow="1" w:lastRow="0" w:firstColumn="1" w:lastColumn="0" w:noHBand="0" w:noVBand="1"/>
      </w:tblPr>
      <w:tblGrid>
        <w:gridCol w:w="2552"/>
        <w:gridCol w:w="1984"/>
        <w:gridCol w:w="2268"/>
        <w:gridCol w:w="2417"/>
      </w:tblGrid>
      <w:tr w:rsidR="006D1960" w:rsidRPr="00456A79" w:rsidTr="00234A6B">
        <w:trPr>
          <w:trHeight w:val="38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</w:rPr>
            </w:pPr>
            <w:r w:rsidRPr="00456A79">
              <w:rPr>
                <w:b/>
                <w:bCs/>
              </w:rPr>
              <w:lastRenderedPageBreak/>
              <w:t>Naziv prioriteta/posebnog cilja/ mjere</w:t>
            </w:r>
          </w:p>
        </w:tc>
        <w:tc>
          <w:tcPr>
            <w:tcW w:w="6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</w:rPr>
            </w:pPr>
            <w:r w:rsidRPr="00456A79">
              <w:rPr>
                <w:b/>
                <w:bCs/>
              </w:rPr>
              <w:t>Planirana sredstva u proračunu Istarske županije</w:t>
            </w:r>
          </w:p>
        </w:tc>
      </w:tr>
      <w:tr w:rsidR="006D1960" w:rsidRPr="00456A79" w:rsidTr="00234A6B">
        <w:trPr>
          <w:trHeight w:val="76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Program u Proračunu IŽ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Poveznica na izvor financiranja u Proračunu IŽ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Procijenjeni trošak provedbe mjere</w:t>
            </w:r>
            <w:r w:rsidRPr="00456A79">
              <w:br/>
              <w:t>(u EUR)</w:t>
            </w:r>
          </w:p>
        </w:tc>
      </w:tr>
      <w:tr w:rsidR="006D1960" w:rsidRPr="00456A79" w:rsidTr="00234A6B">
        <w:trPr>
          <w:trHeight w:val="572"/>
        </w:trPr>
        <w:tc>
          <w:tcPr>
            <w:tcW w:w="9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D1960" w:rsidRPr="00456A79" w:rsidRDefault="006D1960" w:rsidP="00234A6B">
            <w:pPr>
              <w:rPr>
                <w:b/>
                <w:bCs/>
              </w:rPr>
            </w:pPr>
            <w:r w:rsidRPr="00456A79">
              <w:rPr>
                <w:b/>
                <w:bCs/>
              </w:rPr>
              <w:t>2. PAMETNA REGIJA ZNANJA PREPOZNATLJIVA PO VISOKOJ KVALITETI ŽIVOTA, DOSTUPNOM OBRAZOVANJU I UKLJUČIVOSTI</w:t>
            </w:r>
          </w:p>
        </w:tc>
      </w:tr>
      <w:tr w:rsidR="006D1960" w:rsidRPr="00456A79" w:rsidTr="00234A6B">
        <w:trPr>
          <w:trHeight w:val="398"/>
        </w:trPr>
        <w:tc>
          <w:tcPr>
            <w:tcW w:w="9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1960" w:rsidRPr="00456A79" w:rsidRDefault="006D1960" w:rsidP="00234A6B">
            <w:pPr>
              <w:rPr>
                <w:b/>
                <w:bCs/>
              </w:rPr>
            </w:pPr>
            <w:r w:rsidRPr="00456A79">
              <w:rPr>
                <w:b/>
                <w:bCs/>
              </w:rPr>
              <w:t>2.1. Osiguranje visokih standarda i dostupnosti obrazovanja</w:t>
            </w:r>
          </w:p>
        </w:tc>
      </w:tr>
      <w:tr w:rsidR="006D1960" w:rsidRPr="00456A79" w:rsidTr="00234A6B">
        <w:trPr>
          <w:trHeight w:val="12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60" w:rsidRPr="00456A79" w:rsidRDefault="006D1960" w:rsidP="00234A6B">
            <w:r w:rsidRPr="00456A79">
              <w:t>2.1.2. Osiguranje i poboljšanje dostupnosti odgoja i obrazovanja djeci i njihovim roditeljima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60" w:rsidRPr="00456A79" w:rsidRDefault="006D1960" w:rsidP="00234A6B">
            <w:r w:rsidRPr="00456A79">
              <w:t>2301 Programi obrazovanja iznad standarda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A230101; A230168; A230184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9.008,76</w:t>
            </w:r>
          </w:p>
        </w:tc>
      </w:tr>
      <w:tr w:rsidR="006D1960" w:rsidRPr="00456A79" w:rsidTr="00234A6B">
        <w:trPr>
          <w:trHeight w:val="269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D1960" w:rsidRPr="00456A79" w:rsidRDefault="006D1960" w:rsidP="00234A6B">
            <w:pPr>
              <w:jc w:val="right"/>
              <w:rPr>
                <w:b/>
                <w:bCs/>
              </w:rPr>
            </w:pPr>
            <w:r w:rsidRPr="00456A79">
              <w:rPr>
                <w:b/>
                <w:bCs/>
              </w:rPr>
              <w:t>UKUPNO: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9.008,76</w:t>
            </w:r>
          </w:p>
        </w:tc>
      </w:tr>
    </w:tbl>
    <w:p w:rsidR="006D1960" w:rsidRDefault="006D1960" w:rsidP="006D1960">
      <w:pPr>
        <w:jc w:val="both"/>
        <w:rPr>
          <w:b/>
          <w:bCs/>
        </w:rPr>
      </w:pPr>
    </w:p>
    <w:p w:rsidR="006D1960" w:rsidRPr="00EA01CB" w:rsidRDefault="006D1960" w:rsidP="006D1960">
      <w:pPr>
        <w:jc w:val="both"/>
        <w:rPr>
          <w:b/>
          <w:bCs/>
        </w:rPr>
      </w:pPr>
      <w:r w:rsidRPr="00EA01CB">
        <w:rPr>
          <w:b/>
          <w:bCs/>
        </w:rPr>
        <w:t xml:space="preserve">POKAZATELJI USPJEŠNOSTI </w:t>
      </w:r>
    </w:p>
    <w:p w:rsidR="006D1960" w:rsidRDefault="006D1960" w:rsidP="006D1960">
      <w:pPr>
        <w:spacing w:after="160"/>
        <w:rPr>
          <w:bCs/>
        </w:rPr>
      </w:pPr>
      <w:r>
        <w:t xml:space="preserve">Veliki interes budućih učenika za upis u programe naše škole. Omogućen kvalitetan rad </w:t>
      </w:r>
      <w:r w:rsidRPr="00EA01CB">
        <w:rPr>
          <w:bCs/>
        </w:rPr>
        <w:t xml:space="preserve">škole te nesmetano odvijanje nastavnog procesa. Sudjelovanje većeg broja učenika u izvannastavnim aktivnostima. </w:t>
      </w:r>
    </w:p>
    <w:tbl>
      <w:tblPr>
        <w:tblpPr w:leftFromText="180" w:rightFromText="180" w:vertAnchor="text" w:tblpY="1"/>
        <w:tblOverlap w:val="never"/>
        <w:tblW w:w="9335" w:type="dxa"/>
        <w:tblInd w:w="93" w:type="dxa"/>
        <w:tblLook w:val="04A0" w:firstRow="1" w:lastRow="0" w:firstColumn="1" w:lastColumn="0" w:noHBand="0" w:noVBand="1"/>
      </w:tblPr>
      <w:tblGrid>
        <w:gridCol w:w="4224"/>
        <w:gridCol w:w="1353"/>
        <w:gridCol w:w="1804"/>
        <w:gridCol w:w="1954"/>
      </w:tblGrid>
      <w:tr w:rsidR="006D1960" w:rsidRPr="00456A79" w:rsidTr="00234A6B">
        <w:trPr>
          <w:trHeight w:val="1085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456A79">
              <w:rPr>
                <w:b/>
                <w:bCs/>
                <w:color w:val="000000"/>
              </w:rPr>
              <w:t>Pokazatelj rezultata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456A79">
              <w:rPr>
                <w:b/>
                <w:bCs/>
                <w:color w:val="000000"/>
              </w:rPr>
              <w:t xml:space="preserve">Početna vrijednost </w:t>
            </w:r>
            <w:r>
              <w:rPr>
                <w:b/>
                <w:bCs/>
                <w:color w:val="000000"/>
              </w:rPr>
              <w:t>2024.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456A79">
              <w:rPr>
                <w:b/>
                <w:bCs/>
                <w:color w:val="000000"/>
              </w:rPr>
              <w:t>Ciljna vrijednost 202</w:t>
            </w:r>
            <w:r>
              <w:rPr>
                <w:b/>
                <w:bCs/>
                <w:color w:val="000000"/>
              </w:rPr>
              <w:t>5</w:t>
            </w:r>
            <w:r w:rsidRPr="00456A79">
              <w:rPr>
                <w:b/>
                <w:bCs/>
                <w:color w:val="000000"/>
              </w:rPr>
              <w:t>.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456A79">
              <w:rPr>
                <w:b/>
                <w:bCs/>
                <w:color w:val="000000"/>
              </w:rPr>
              <w:t>Ostvarena vrijednost</w:t>
            </w:r>
            <w:r w:rsidRPr="00456A79">
              <w:rPr>
                <w:b/>
                <w:bCs/>
                <w:color w:val="000000"/>
              </w:rPr>
              <w:br/>
              <w:t>u periodu</w:t>
            </w:r>
            <w:r w:rsidRPr="00456A79">
              <w:rPr>
                <w:b/>
                <w:bCs/>
                <w:color w:val="000000"/>
              </w:rPr>
              <w:br/>
              <w:t>01-12/202</w:t>
            </w:r>
            <w:r>
              <w:rPr>
                <w:b/>
                <w:bCs/>
                <w:color w:val="000000"/>
              </w:rPr>
              <w:t>5</w:t>
            </w:r>
            <w:r w:rsidRPr="00456A79">
              <w:rPr>
                <w:b/>
                <w:bCs/>
                <w:color w:val="000000"/>
              </w:rPr>
              <w:t>.</w:t>
            </w:r>
          </w:p>
        </w:tc>
      </w:tr>
      <w:tr w:rsidR="006D1960" w:rsidRPr="00456A79" w:rsidTr="00234A6B">
        <w:trPr>
          <w:trHeight w:val="297"/>
        </w:trPr>
        <w:tc>
          <w:tcPr>
            <w:tcW w:w="4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  <w:r>
              <w:t>Broj učenika koji su sudjelovali na županijskim natjecanjima</w:t>
            </w:r>
          </w:p>
        </w:tc>
        <w:tc>
          <w:tcPr>
            <w:tcW w:w="135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color w:val="000000"/>
              </w:rPr>
            </w:pPr>
            <w:r w:rsidRPr="00456A79">
              <w:rPr>
                <w:color w:val="000000"/>
              </w:rPr>
              <w:t> </w:t>
            </w:r>
            <w:r>
              <w:rPr>
                <w:color w:val="000000"/>
              </w:rPr>
              <w:t>2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>
              <w:t>2</w:t>
            </w:r>
          </w:p>
        </w:tc>
        <w:tc>
          <w:tcPr>
            <w:tcW w:w="1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>
              <w:t>1</w:t>
            </w:r>
          </w:p>
        </w:tc>
      </w:tr>
      <w:tr w:rsidR="006D1960" w:rsidRPr="00456A79" w:rsidTr="00234A6B">
        <w:trPr>
          <w:trHeight w:val="312"/>
        </w:trPr>
        <w:tc>
          <w:tcPr>
            <w:tcW w:w="4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  <w:tc>
          <w:tcPr>
            <w:tcW w:w="135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/>
        </w:tc>
        <w:tc>
          <w:tcPr>
            <w:tcW w:w="1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/>
        </w:tc>
      </w:tr>
      <w:tr w:rsidR="006D1960" w:rsidRPr="00456A79" w:rsidTr="00234A6B">
        <w:trPr>
          <w:trHeight w:val="297"/>
        </w:trPr>
        <w:tc>
          <w:tcPr>
            <w:tcW w:w="4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  <w:r>
              <w:t>Broj učenika koji su pohađaju program zavičajnosti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>
              <w:t>20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>
              <w:t>20</w:t>
            </w:r>
          </w:p>
        </w:tc>
      </w:tr>
      <w:tr w:rsidR="006D1960" w:rsidRPr="00456A79" w:rsidTr="00234A6B">
        <w:trPr>
          <w:trHeight w:val="312"/>
        </w:trPr>
        <w:tc>
          <w:tcPr>
            <w:tcW w:w="4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</w:tr>
    </w:tbl>
    <w:p w:rsidR="006D1960" w:rsidRDefault="006D1960" w:rsidP="006D1960">
      <w:pPr>
        <w:spacing w:after="160"/>
        <w:rPr>
          <w:rFonts w:eastAsia="Calibri"/>
          <w:b/>
          <w:color w:val="000000"/>
          <w:lang w:eastAsia="en-US"/>
        </w:rPr>
      </w:pPr>
    </w:p>
    <w:p w:rsidR="006D1960" w:rsidRPr="00B80375" w:rsidRDefault="006D1960" w:rsidP="006D1960">
      <w:pPr>
        <w:pStyle w:val="Odlomakpopisa"/>
        <w:numPr>
          <w:ilvl w:val="0"/>
          <w:numId w:val="2"/>
        </w:numPr>
        <w:spacing w:after="160"/>
        <w:rPr>
          <w:rFonts w:eastAsia="Calibri"/>
          <w:color w:val="000000"/>
          <w:lang w:eastAsia="en-US"/>
        </w:rPr>
      </w:pPr>
      <w:r w:rsidRPr="00B80375">
        <w:rPr>
          <w:rFonts w:eastAsia="Calibri"/>
          <w:b/>
          <w:color w:val="000000"/>
          <w:lang w:eastAsia="en-US"/>
        </w:rPr>
        <w:t>PROGRAM 2302: PROGRAMI OBRAZOVANJA IZNAD STANDARDA</w:t>
      </w:r>
    </w:p>
    <w:p w:rsidR="006D1960" w:rsidRDefault="006D1960" w:rsidP="006D1960">
      <w:r>
        <w:t xml:space="preserve">Kod ovog programa imali smo tri izvora financiranja a to su </w:t>
      </w:r>
      <w:r w:rsidRPr="00456A79">
        <w:t>Ministarstvo rada, mirovinskog sustava, obitelji i socijalne politike</w:t>
      </w:r>
      <w:r>
        <w:t>, Istarsku županiju te Grad Pulu. Aktivnosti u ovom programu izvršene su sa različitim postotkom ostvarenja u odnosu na Plan za 2025. godinu.</w:t>
      </w:r>
    </w:p>
    <w:p w:rsidR="006D1960" w:rsidRDefault="006D1960" w:rsidP="006D1960"/>
    <w:p w:rsidR="006D1960" w:rsidRPr="00456A79" w:rsidRDefault="006D1960" w:rsidP="006D1960">
      <w:pPr>
        <w:numPr>
          <w:ilvl w:val="1"/>
          <w:numId w:val="2"/>
        </w:numPr>
      </w:pPr>
      <w:r w:rsidRPr="00456A79">
        <w:rPr>
          <w:b/>
        </w:rPr>
        <w:t>A230209 MENSTRUALNE I HIGJENSKE POTREPŠTINE</w:t>
      </w:r>
    </w:p>
    <w:p w:rsidR="006D1960" w:rsidRPr="00456A79" w:rsidRDefault="006D1960" w:rsidP="006D1960">
      <w:pPr>
        <w:jc w:val="both"/>
      </w:pPr>
    </w:p>
    <w:p w:rsidR="006D1960" w:rsidRDefault="006D1960" w:rsidP="006D1960">
      <w:r w:rsidRPr="00456A79">
        <w:t>Ministarstvo rada, mirovinskog sustava, obitelji i socijalne politike financira</w:t>
      </w:r>
      <w:r>
        <w:t>lo je i ove godine</w:t>
      </w:r>
      <w:r w:rsidRPr="00456A79">
        <w:t xml:space="preserve"> </w:t>
      </w:r>
      <w:r>
        <w:t xml:space="preserve">doznačilo sredstva za </w:t>
      </w:r>
      <w:r w:rsidRPr="00456A79">
        <w:t>nabav</w:t>
      </w:r>
      <w:r>
        <w:t>ku</w:t>
      </w:r>
      <w:r w:rsidRPr="00456A79">
        <w:t xml:space="preserve"> menstrualnih higijenskih potrepština</w:t>
      </w:r>
      <w:r>
        <w:t xml:space="preserve"> </w:t>
      </w:r>
      <w:r w:rsidRPr="00457869">
        <w:t>radi opskrbe besplatni</w:t>
      </w:r>
      <w:r>
        <w:t>h</w:t>
      </w:r>
      <w:r w:rsidRPr="00457869">
        <w:t xml:space="preserve"> zaliha</w:t>
      </w:r>
      <w:r>
        <w:t xml:space="preserve"> učenicama naše </w:t>
      </w:r>
      <w:r w:rsidRPr="00456A79">
        <w:t>škol</w:t>
      </w:r>
      <w:r>
        <w:t>e.</w:t>
      </w:r>
    </w:p>
    <w:p w:rsidR="006D1960" w:rsidRDefault="006D1960" w:rsidP="006D1960"/>
    <w:p w:rsidR="006D1960" w:rsidRPr="00456A79" w:rsidRDefault="006D1960" w:rsidP="006D1960">
      <w:pPr>
        <w:numPr>
          <w:ilvl w:val="1"/>
          <w:numId w:val="2"/>
        </w:numPr>
      </w:pPr>
      <w:r w:rsidRPr="00456A79">
        <w:rPr>
          <w:b/>
        </w:rPr>
        <w:t>A2302</w:t>
      </w:r>
      <w:r>
        <w:rPr>
          <w:b/>
        </w:rPr>
        <w:t>14</w:t>
      </w:r>
      <w:r w:rsidRPr="00456A79">
        <w:rPr>
          <w:b/>
        </w:rPr>
        <w:t xml:space="preserve"> </w:t>
      </w:r>
      <w:r>
        <w:rPr>
          <w:b/>
        </w:rPr>
        <w:t>IZMJENA NAZIVA ŠKOLA (DVOJEZIČNOST)</w:t>
      </w:r>
    </w:p>
    <w:p w:rsidR="006D1960" w:rsidRDefault="006D1960" w:rsidP="006D1960"/>
    <w:p w:rsidR="006D1960" w:rsidRDefault="006D1960" w:rsidP="006D1960">
      <w:r>
        <w:t xml:space="preserve">Planom je bilo predviđeno da će se </w:t>
      </w:r>
      <w:r w:rsidRPr="00456A79">
        <w:t>izmijeniti naziv škol</w:t>
      </w:r>
      <w:r>
        <w:t>e</w:t>
      </w:r>
      <w:r w:rsidRPr="00456A79">
        <w:t xml:space="preserve"> na način da </w:t>
      </w:r>
      <w:r>
        <w:t xml:space="preserve">se </w:t>
      </w:r>
      <w:r w:rsidRPr="00456A79">
        <w:t>istakne dvojezični naziv na hrvatskom jeziku i na jeziku i pismu etničke i nacionalne zajednice ili manjine</w:t>
      </w:r>
      <w:r>
        <w:t>, međutim ova aktivnost nije izvedena te se planira za 2026. godinu. Za ovu aktivnost izvor financiranja je Istarska županija.</w:t>
      </w:r>
    </w:p>
    <w:p w:rsidR="006D1960" w:rsidRDefault="006D1960" w:rsidP="006D1960"/>
    <w:p w:rsidR="006D1960" w:rsidRDefault="006D1960" w:rsidP="006D1960">
      <w:pPr>
        <w:numPr>
          <w:ilvl w:val="1"/>
          <w:numId w:val="2"/>
        </w:numPr>
      </w:pPr>
      <w:r w:rsidRPr="00B80375">
        <w:rPr>
          <w:b/>
        </w:rPr>
        <w:lastRenderedPageBreak/>
        <w:t>A230219 UZORKOVANJE VODE I IZRAD</w:t>
      </w:r>
      <w:r>
        <w:rPr>
          <w:b/>
        </w:rPr>
        <w:t>A</w:t>
      </w:r>
      <w:r w:rsidRPr="00B80375">
        <w:rPr>
          <w:b/>
        </w:rPr>
        <w:t xml:space="preserve"> PROCJENE RIZIKA VODOVODNE MREŽE</w:t>
      </w:r>
    </w:p>
    <w:p w:rsidR="006D1960" w:rsidRDefault="006D1960" w:rsidP="006D1960"/>
    <w:p w:rsidR="006D1960" w:rsidRDefault="006D1960" w:rsidP="006D1960">
      <w:r>
        <w:t xml:space="preserve">Istarska županija nam je doznačila sredstva za uzorkovanje vode i izradu procjene rizika vodovodne mreže radi </w:t>
      </w:r>
      <w:r w:rsidRPr="00457869">
        <w:t>zaštite zdravlja ljudi i sprječavanja širenja zaraznih bolesti putem vode za ljudsku potrošnju. Škola je obavezna, budući da ima veliki broj korisnika koji su  potencijalno izloženi rizicima povezanim s vodom, da uspostavi, provodi i održava sustave i postupke samokontrole</w:t>
      </w:r>
      <w:r>
        <w:t xml:space="preserve"> </w:t>
      </w:r>
      <w:r w:rsidRPr="00457869">
        <w:t>na prisutnost bakterije Legionella spp. i olova</w:t>
      </w:r>
      <w:r>
        <w:t>.</w:t>
      </w:r>
    </w:p>
    <w:p w:rsidR="006D1960" w:rsidRDefault="006D1960" w:rsidP="006D1960"/>
    <w:p w:rsidR="006D1960" w:rsidRDefault="006D1960" w:rsidP="006D1960">
      <w:pPr>
        <w:numPr>
          <w:ilvl w:val="1"/>
          <w:numId w:val="2"/>
        </w:numPr>
      </w:pPr>
      <w:r w:rsidRPr="00B80375">
        <w:rPr>
          <w:b/>
        </w:rPr>
        <w:t>A2302</w:t>
      </w:r>
      <w:r>
        <w:rPr>
          <w:b/>
        </w:rPr>
        <w:t>22</w:t>
      </w:r>
      <w:r w:rsidRPr="00B80375">
        <w:rPr>
          <w:b/>
        </w:rPr>
        <w:t xml:space="preserve"> </w:t>
      </w:r>
      <w:r w:rsidRPr="00116326">
        <w:rPr>
          <w:rFonts w:ascii="Arial" w:hAnsi="Arial" w:cs="Arial"/>
          <w:b/>
          <w:sz w:val="22"/>
          <w:szCs w:val="22"/>
        </w:rPr>
        <w:t>POTICANJE ENERGETSKE EFIKASNOST</w:t>
      </w:r>
      <w:r>
        <w:rPr>
          <w:rFonts w:ascii="Arial" w:hAnsi="Arial" w:cs="Arial"/>
          <w:b/>
          <w:sz w:val="22"/>
          <w:szCs w:val="22"/>
        </w:rPr>
        <w:t>I I KORIŠTENJE OBNOVLJIVIH IZVORA ENERGIJE U JS</w:t>
      </w:r>
    </w:p>
    <w:p w:rsidR="006D1960" w:rsidRDefault="006D1960" w:rsidP="006D1960"/>
    <w:p w:rsidR="006D1960" w:rsidRDefault="006D1960" w:rsidP="006D1960">
      <w:pPr>
        <w:autoSpaceDE w:val="0"/>
        <w:autoSpaceDN w:val="0"/>
        <w:adjustRightInd w:val="0"/>
      </w:pPr>
      <w:r>
        <w:t xml:space="preserve">I treći izvor financiranja bio je </w:t>
      </w:r>
      <w:r w:rsidRPr="00457869">
        <w:t>GRAD Pula-Pola</w:t>
      </w:r>
      <w:r>
        <w:t xml:space="preserve"> koji je u sklopu </w:t>
      </w:r>
      <w:r w:rsidRPr="00457869">
        <w:t>Sporazum o partnerstvu i suradnji u provedbi aktivnosti iz područja energetske učinkovitosti</w:t>
      </w:r>
      <w:r>
        <w:t xml:space="preserve"> zajedno sa </w:t>
      </w:r>
      <w:r w:rsidRPr="00457869">
        <w:t>Istarsk</w:t>
      </w:r>
      <w:r>
        <w:t>om</w:t>
      </w:r>
      <w:r w:rsidRPr="00457869">
        <w:t xml:space="preserve"> Regionaln</w:t>
      </w:r>
      <w:r>
        <w:t>om</w:t>
      </w:r>
      <w:r w:rsidRPr="00457869">
        <w:t xml:space="preserve"> Energetsk</w:t>
      </w:r>
      <w:r>
        <w:t>om</w:t>
      </w:r>
      <w:r w:rsidRPr="00457869">
        <w:t xml:space="preserve"> Agencij</w:t>
      </w:r>
      <w:r>
        <w:t>om (IRENA) izvršio nabavu dizalice topline radi poticanja energetske učinkovitosti i korištenje obnovljivih izvora energije na način da će se kompletirati instalacija potpuno funcionalnog sustava grijanja-hlađenja. Izvršenje u odnosu na plan je manje za 29,96% te će se ostatak dobivenih sredstava utrošiti u narednom razdoblju.</w:t>
      </w:r>
    </w:p>
    <w:p w:rsidR="006D1960" w:rsidRDefault="006D1960" w:rsidP="006D1960">
      <w:pPr>
        <w:autoSpaceDE w:val="0"/>
        <w:autoSpaceDN w:val="0"/>
        <w:adjustRightInd w:val="0"/>
      </w:pPr>
    </w:p>
    <w:p w:rsidR="006D1960" w:rsidRPr="00456A79" w:rsidRDefault="006D1960" w:rsidP="006D1960">
      <w:pPr>
        <w:jc w:val="both"/>
        <w:rPr>
          <w:b/>
          <w:bCs/>
        </w:rPr>
      </w:pPr>
      <w:r w:rsidRPr="00456A79">
        <w:rPr>
          <w:b/>
          <w:bCs/>
        </w:rPr>
        <w:t xml:space="preserve">CILJ USPJEŠNOSTI: </w:t>
      </w:r>
    </w:p>
    <w:p w:rsidR="006D1960" w:rsidRPr="00456A79" w:rsidRDefault="006D1960" w:rsidP="006D1960">
      <w:pPr>
        <w:rPr>
          <w:bCs/>
        </w:rPr>
      </w:pPr>
      <w:r w:rsidRPr="00456A79">
        <w:t xml:space="preserve">Mjere 2.1.2. (Osiguranje i poboljšanje dostupnosti obrazovanja djeci i roditeljima/starateljima) i 2.1.9. (Ostale mjere iz samoupravnog djelokruga u području odgoja i obrazovanja) iz Provedbenog programa Istarske županije 2022.-2025. </w:t>
      </w:r>
      <w:r w:rsidRPr="00456A79">
        <w:rPr>
          <w:bCs/>
        </w:rPr>
        <w:t>Za ovaj program Izvršenje za</w:t>
      </w:r>
      <w:r>
        <w:rPr>
          <w:bCs/>
        </w:rPr>
        <w:t xml:space="preserve"> </w:t>
      </w:r>
      <w:r w:rsidRPr="00456A79">
        <w:rPr>
          <w:bCs/>
        </w:rPr>
        <w:t>202</w:t>
      </w:r>
      <w:r>
        <w:rPr>
          <w:bCs/>
        </w:rPr>
        <w:t>5</w:t>
      </w:r>
      <w:r w:rsidRPr="00456A79">
        <w:rPr>
          <w:bCs/>
        </w:rPr>
        <w:t xml:space="preserve">. </w:t>
      </w:r>
      <w:r>
        <w:rPr>
          <w:bCs/>
        </w:rPr>
        <w:t>ostvareno je za 68,66</w:t>
      </w:r>
      <w:r w:rsidRPr="00456A79">
        <w:rPr>
          <w:bCs/>
        </w:rPr>
        <w:t>% budući da nije došlo do realizacije aktivnosti za izmjenu naziva škole</w:t>
      </w:r>
      <w:r>
        <w:rPr>
          <w:bCs/>
        </w:rPr>
        <w:t xml:space="preserve"> - dvojezičnost te nije nabavljena u potpunosti oprema za dizalicu topline.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552"/>
        <w:gridCol w:w="1984"/>
        <w:gridCol w:w="2268"/>
        <w:gridCol w:w="2694"/>
      </w:tblGrid>
      <w:tr w:rsidR="006D1960" w:rsidRPr="00456A79" w:rsidTr="00234A6B">
        <w:trPr>
          <w:trHeight w:val="50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</w:rPr>
            </w:pPr>
            <w:r w:rsidRPr="00456A79">
              <w:rPr>
                <w:b/>
                <w:bCs/>
              </w:rPr>
              <w:t>Naziv prioriteta/posebnog cilja/ mjere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</w:rPr>
            </w:pPr>
            <w:r w:rsidRPr="00456A79">
              <w:rPr>
                <w:b/>
                <w:bCs/>
              </w:rPr>
              <w:t>Planirana sredstva u proračunu Istarske županije</w:t>
            </w:r>
          </w:p>
        </w:tc>
      </w:tr>
      <w:tr w:rsidR="006D1960" w:rsidRPr="00456A79" w:rsidTr="00234A6B">
        <w:trPr>
          <w:trHeight w:val="76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Program u Proračunu IŽ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Poveznica na izvor financiranja u Proračunu IŽ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Procijenjeni trošak provedbe mjere</w:t>
            </w:r>
            <w:r w:rsidRPr="00456A79">
              <w:br/>
              <w:t>(u EUR)</w:t>
            </w:r>
          </w:p>
        </w:tc>
      </w:tr>
      <w:tr w:rsidR="006D1960" w:rsidRPr="00456A79" w:rsidTr="00234A6B">
        <w:trPr>
          <w:trHeight w:val="612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D1960" w:rsidRPr="00456A79" w:rsidRDefault="006D1960" w:rsidP="00234A6B">
            <w:pPr>
              <w:rPr>
                <w:b/>
                <w:bCs/>
              </w:rPr>
            </w:pPr>
            <w:r w:rsidRPr="00456A79">
              <w:rPr>
                <w:b/>
                <w:bCs/>
              </w:rPr>
              <w:t>2. PAMETNA REGIJA ZNANJA PREPOZNATLJIVA PO VISOKOJ KVALITETI ŽIVOTA, DOSTUPNOM OBRAZOVANJU I UKLJUČIVOSTI</w:t>
            </w:r>
          </w:p>
        </w:tc>
      </w:tr>
      <w:tr w:rsidR="006D1960" w:rsidRPr="00456A79" w:rsidTr="00234A6B">
        <w:trPr>
          <w:trHeight w:val="4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1960" w:rsidRPr="00456A79" w:rsidRDefault="006D1960" w:rsidP="00234A6B">
            <w:pPr>
              <w:rPr>
                <w:b/>
                <w:bCs/>
              </w:rPr>
            </w:pPr>
            <w:r w:rsidRPr="00456A79">
              <w:rPr>
                <w:b/>
                <w:bCs/>
              </w:rPr>
              <w:t>2.1. Osiguranje visokih standarda i dostupnosti obrazovanja</w:t>
            </w:r>
          </w:p>
        </w:tc>
      </w:tr>
      <w:tr w:rsidR="006D1960" w:rsidRPr="00456A79" w:rsidTr="00234A6B">
        <w:trPr>
          <w:trHeight w:val="97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60" w:rsidRPr="00456A79" w:rsidRDefault="006D1960" w:rsidP="00234A6B">
            <w:r w:rsidRPr="00456A79">
              <w:t>2.1.2. Osiguranje i poboljšanje dostupnosti odgoja i obrazovanja djeci i njihovim roditeljima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60" w:rsidRPr="00456A79" w:rsidRDefault="006D1960" w:rsidP="00234A6B">
            <w:r w:rsidRPr="00456A79">
              <w:t>2302 Programi obrazovanja iznad standarda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A230209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604,27</w:t>
            </w:r>
          </w:p>
        </w:tc>
      </w:tr>
      <w:tr w:rsidR="006D1960" w:rsidRPr="00456A79" w:rsidTr="00234A6B">
        <w:trPr>
          <w:trHeight w:val="469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D1960" w:rsidRPr="00456A79" w:rsidRDefault="006D1960" w:rsidP="00234A6B">
            <w:pPr>
              <w:jc w:val="right"/>
              <w:rPr>
                <w:b/>
                <w:bCs/>
              </w:rPr>
            </w:pPr>
            <w:r w:rsidRPr="00456A79">
              <w:rPr>
                <w:b/>
                <w:bCs/>
              </w:rPr>
              <w:t>UKUPNO: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604,27</w:t>
            </w:r>
          </w:p>
        </w:tc>
      </w:tr>
    </w:tbl>
    <w:p w:rsidR="006D1960" w:rsidRDefault="006D1960" w:rsidP="006D1960">
      <w:pPr>
        <w:jc w:val="both"/>
        <w:rPr>
          <w:b/>
          <w:bCs/>
        </w:rPr>
      </w:pPr>
    </w:p>
    <w:p w:rsidR="006D1960" w:rsidRPr="00456A79" w:rsidRDefault="006D1960" w:rsidP="006D1960">
      <w:pPr>
        <w:jc w:val="both"/>
        <w:rPr>
          <w:b/>
          <w:bCs/>
        </w:rPr>
      </w:pPr>
      <w:r w:rsidRPr="00456A79">
        <w:rPr>
          <w:b/>
          <w:bCs/>
        </w:rPr>
        <w:t>POKAZATELJI USPJEŠNOSTI</w:t>
      </w:r>
    </w:p>
    <w:p w:rsidR="006D1960" w:rsidRPr="00456A79" w:rsidRDefault="006D1960" w:rsidP="006D1960">
      <w:pPr>
        <w:jc w:val="both"/>
      </w:pPr>
      <w:r w:rsidRPr="00456A79">
        <w:t xml:space="preserve">Pokazatelji uspješnosti: Menstrualne higijenske potrepštine nabavljene su </w:t>
      </w:r>
      <w:r>
        <w:t>jednoj učenici Škole budući da smo mi škola sa pretežito muškim zanimanjima.</w:t>
      </w:r>
    </w:p>
    <w:tbl>
      <w:tblPr>
        <w:tblpPr w:leftFromText="180" w:rightFromText="180" w:vertAnchor="text" w:tblpY="1"/>
        <w:tblOverlap w:val="never"/>
        <w:tblW w:w="9335" w:type="dxa"/>
        <w:tblInd w:w="93" w:type="dxa"/>
        <w:tblLook w:val="04A0" w:firstRow="1" w:lastRow="0" w:firstColumn="1" w:lastColumn="0" w:noHBand="0" w:noVBand="1"/>
      </w:tblPr>
      <w:tblGrid>
        <w:gridCol w:w="4224"/>
        <w:gridCol w:w="1353"/>
        <w:gridCol w:w="1804"/>
        <w:gridCol w:w="1954"/>
      </w:tblGrid>
      <w:tr w:rsidR="006D1960" w:rsidRPr="00456A79" w:rsidTr="00234A6B">
        <w:trPr>
          <w:trHeight w:val="1085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456A79">
              <w:rPr>
                <w:b/>
                <w:bCs/>
                <w:color w:val="000000"/>
              </w:rPr>
              <w:t>Pokazatelj rezultata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456A79">
              <w:rPr>
                <w:b/>
                <w:bCs/>
                <w:color w:val="000000"/>
              </w:rPr>
              <w:t xml:space="preserve">Početna vrijednost </w:t>
            </w:r>
            <w:r>
              <w:rPr>
                <w:b/>
                <w:bCs/>
                <w:color w:val="000000"/>
              </w:rPr>
              <w:t>2024.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456A79">
              <w:rPr>
                <w:b/>
                <w:bCs/>
                <w:color w:val="000000"/>
              </w:rPr>
              <w:t>Ciljna vrijednost 202</w:t>
            </w:r>
            <w:r>
              <w:rPr>
                <w:b/>
                <w:bCs/>
                <w:color w:val="000000"/>
              </w:rPr>
              <w:t>5</w:t>
            </w:r>
            <w:r w:rsidRPr="00456A79">
              <w:rPr>
                <w:b/>
                <w:bCs/>
                <w:color w:val="000000"/>
              </w:rPr>
              <w:t>.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456A79">
              <w:rPr>
                <w:b/>
                <w:bCs/>
                <w:color w:val="000000"/>
              </w:rPr>
              <w:t>Ostvarena vrijednost</w:t>
            </w:r>
            <w:r w:rsidRPr="00456A79">
              <w:rPr>
                <w:b/>
                <w:bCs/>
                <w:color w:val="000000"/>
              </w:rPr>
              <w:br/>
              <w:t>u periodu</w:t>
            </w:r>
            <w:r w:rsidRPr="00456A79">
              <w:rPr>
                <w:b/>
                <w:bCs/>
                <w:color w:val="000000"/>
              </w:rPr>
              <w:br/>
              <w:t>01-12/202</w:t>
            </w:r>
            <w:r>
              <w:rPr>
                <w:b/>
                <w:bCs/>
                <w:color w:val="000000"/>
              </w:rPr>
              <w:t>5</w:t>
            </w:r>
          </w:p>
        </w:tc>
      </w:tr>
      <w:tr w:rsidR="006D1960" w:rsidRPr="00456A79" w:rsidTr="00234A6B">
        <w:trPr>
          <w:trHeight w:val="297"/>
        </w:trPr>
        <w:tc>
          <w:tcPr>
            <w:tcW w:w="4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  <w:r>
              <w:lastRenderedPageBreak/>
              <w:t>Broj upisanih učenica</w:t>
            </w:r>
          </w:p>
        </w:tc>
        <w:tc>
          <w:tcPr>
            <w:tcW w:w="135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color w:val="000000"/>
              </w:rPr>
            </w:pPr>
            <w:r w:rsidRPr="00456A79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D1960" w:rsidRPr="00456A79" w:rsidTr="00234A6B">
        <w:trPr>
          <w:trHeight w:val="276"/>
        </w:trPr>
        <w:tc>
          <w:tcPr>
            <w:tcW w:w="4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  <w:tc>
          <w:tcPr>
            <w:tcW w:w="135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  <w:tc>
          <w:tcPr>
            <w:tcW w:w="1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</w:tr>
    </w:tbl>
    <w:p w:rsidR="006D1960" w:rsidRDefault="006D1960" w:rsidP="006D1960">
      <w:pPr>
        <w:jc w:val="both"/>
        <w:rPr>
          <w:i/>
          <w:iCs/>
        </w:rPr>
      </w:pPr>
    </w:p>
    <w:p w:rsidR="006D1960" w:rsidRPr="00456A79" w:rsidRDefault="006D1960" w:rsidP="006D1960">
      <w:pPr>
        <w:numPr>
          <w:ilvl w:val="0"/>
          <w:numId w:val="2"/>
        </w:numPr>
        <w:spacing w:after="160"/>
        <w:rPr>
          <w:rFonts w:eastAsia="Calibri"/>
          <w:color w:val="000000"/>
          <w:lang w:eastAsia="en-US"/>
        </w:rPr>
      </w:pPr>
      <w:r w:rsidRPr="00456A79">
        <w:rPr>
          <w:rFonts w:eastAsia="Calibri"/>
          <w:b/>
          <w:color w:val="000000"/>
          <w:lang w:eastAsia="en-US"/>
        </w:rPr>
        <w:t>PROGRAM 2406: OPREMANJE U SŠ</w:t>
      </w:r>
    </w:p>
    <w:p w:rsidR="006D1960" w:rsidRPr="00456A79" w:rsidRDefault="006D1960" w:rsidP="006D1960">
      <w:r w:rsidRPr="00456A79">
        <w:t xml:space="preserve">Ovaj program obuhvaća aktivnost kojom se omogućava povećanje materijalnog standarda učenika i zaposlenika kroz nabavu nove opreme te je planiran kroz dvije aktivnosti i </w:t>
      </w:r>
      <w:r>
        <w:t>tri</w:t>
      </w:r>
      <w:r w:rsidRPr="00456A79">
        <w:t xml:space="preserve"> izvora financiranja.</w:t>
      </w:r>
    </w:p>
    <w:p w:rsidR="006D1960" w:rsidRPr="00456A79" w:rsidRDefault="006D1960" w:rsidP="006D1960"/>
    <w:p w:rsidR="006D1960" w:rsidRPr="00456A79" w:rsidRDefault="006D1960" w:rsidP="006D1960">
      <w:pPr>
        <w:numPr>
          <w:ilvl w:val="1"/>
          <w:numId w:val="2"/>
        </w:numPr>
      </w:pPr>
      <w:r w:rsidRPr="00456A79">
        <w:rPr>
          <w:b/>
        </w:rPr>
        <w:t>K240601 ŠKOLSKI NAMJEŠTAJ I OPREMA</w:t>
      </w:r>
    </w:p>
    <w:p w:rsidR="006D1960" w:rsidRPr="00456A79" w:rsidRDefault="006D1960" w:rsidP="006D1960"/>
    <w:p w:rsidR="006D1960" w:rsidRDefault="006D1960" w:rsidP="006D1960">
      <w:r w:rsidRPr="00456A79">
        <w:t xml:space="preserve">Putem ove aktivnosti nabavila se oprema iz vlastitih prihoda škole koje smo ostvarili prodajom zastarjelih strojeva. </w:t>
      </w:r>
    </w:p>
    <w:p w:rsidR="006D1960" w:rsidRPr="00456A79" w:rsidRDefault="006D1960" w:rsidP="006D1960"/>
    <w:p w:rsidR="006D1960" w:rsidRPr="00456A79" w:rsidRDefault="006D1960" w:rsidP="006D1960">
      <w:pPr>
        <w:numPr>
          <w:ilvl w:val="1"/>
          <w:numId w:val="2"/>
        </w:numPr>
      </w:pPr>
      <w:r w:rsidRPr="00456A79">
        <w:rPr>
          <w:b/>
        </w:rPr>
        <w:t>K240602 OPREMANJE BIBLIOTEKE</w:t>
      </w:r>
    </w:p>
    <w:p w:rsidR="006D1960" w:rsidRPr="00456A79" w:rsidRDefault="006D1960" w:rsidP="006D1960"/>
    <w:p w:rsidR="006D1960" w:rsidRPr="00456A79" w:rsidRDefault="006D1960" w:rsidP="006D1960">
      <w:r w:rsidRPr="00456A79">
        <w:t>Istarska županija i Ministarstvo znanosti</w:t>
      </w:r>
      <w:r>
        <w:t>,</w:t>
      </w:r>
      <w:r w:rsidRPr="00456A79">
        <w:t xml:space="preserve"> obrazovanja</w:t>
      </w:r>
      <w:r>
        <w:t xml:space="preserve"> i mladih</w:t>
      </w:r>
      <w:r w:rsidRPr="00456A79">
        <w:t xml:space="preserve"> nam je, kao i svake godine, doznačila sredstva za kupnju knjiga za školsku knjižnicu.</w:t>
      </w:r>
    </w:p>
    <w:p w:rsidR="006D1960" w:rsidRPr="00456A79" w:rsidRDefault="006D1960" w:rsidP="006D1960">
      <w:pPr>
        <w:jc w:val="both"/>
        <w:rPr>
          <w:b/>
          <w:bCs/>
        </w:rPr>
      </w:pPr>
    </w:p>
    <w:p w:rsidR="006D1960" w:rsidRPr="00456A79" w:rsidRDefault="006D1960" w:rsidP="006D1960">
      <w:pPr>
        <w:jc w:val="both"/>
        <w:rPr>
          <w:b/>
          <w:bCs/>
        </w:rPr>
      </w:pPr>
      <w:r w:rsidRPr="00456A79">
        <w:rPr>
          <w:b/>
          <w:bCs/>
        </w:rPr>
        <w:t xml:space="preserve">CILJ USPJEŠNOSTI </w:t>
      </w:r>
    </w:p>
    <w:p w:rsidR="006D1960" w:rsidRPr="00456A79" w:rsidRDefault="006D1960" w:rsidP="006D1960">
      <w:pPr>
        <w:autoSpaceDE w:val="0"/>
        <w:autoSpaceDN w:val="0"/>
        <w:adjustRightInd w:val="0"/>
        <w:rPr>
          <w:bCs/>
        </w:rPr>
      </w:pPr>
      <w:r w:rsidRPr="00456A79">
        <w:rPr>
          <w:bCs/>
        </w:rPr>
        <w:t>Usklađeno s Provedbenim programom Istarske županije 2022.-2025. godine, šifra mjere 2.1.1. Izgradnja, rekonstrukcija, dogradnja i opremanje predškolskih ustanova, osnovnih i srednjih škola, te učeničkih domova.</w:t>
      </w:r>
    </w:p>
    <w:p w:rsidR="006D1960" w:rsidRPr="00456A79" w:rsidRDefault="006D1960" w:rsidP="006D1960">
      <w:r w:rsidRPr="00456A79">
        <w:t>Nabavkom nove opreme ulaže se u sigurnost učenika i zaposlenika za optimalno funkcioniranje nastavnog procesa te im se omogućuje praktična nastava koja se održava u školi na suvremenoj opremi. Na taj način se omogućava učenicima da se nakon završetka školovanja mogu lakše zaposliti jer radom na suvremenoj opremi oni su stvorili podlogu za osobnu konkurentnost.</w:t>
      </w:r>
    </w:p>
    <w:p w:rsidR="006D1960" w:rsidRDefault="006D1960" w:rsidP="006D1960">
      <w:pPr>
        <w:jc w:val="both"/>
        <w:rPr>
          <w:bCs/>
        </w:rPr>
      </w:pPr>
      <w:r w:rsidRPr="00456A79">
        <w:rPr>
          <w:bCs/>
        </w:rPr>
        <w:t>Kod ovog programa Izvršenje za period 01-12/202</w:t>
      </w:r>
      <w:r>
        <w:rPr>
          <w:bCs/>
        </w:rPr>
        <w:t>5</w:t>
      </w:r>
      <w:r w:rsidRPr="00456A79">
        <w:rPr>
          <w:bCs/>
        </w:rPr>
        <w:t xml:space="preserve">. </w:t>
      </w:r>
      <w:r>
        <w:rPr>
          <w:bCs/>
        </w:rPr>
        <w:t xml:space="preserve">povećano </w:t>
      </w:r>
      <w:r w:rsidRPr="00456A79">
        <w:rPr>
          <w:bCs/>
        </w:rPr>
        <w:t xml:space="preserve">je u odnosu na plan za </w:t>
      </w:r>
      <w:r>
        <w:rPr>
          <w:bCs/>
        </w:rPr>
        <w:t>2</w:t>
      </w:r>
      <w:r w:rsidRPr="00456A79">
        <w:rPr>
          <w:bCs/>
        </w:rPr>
        <w:t>,</w:t>
      </w:r>
      <w:r>
        <w:rPr>
          <w:bCs/>
        </w:rPr>
        <w:t>42</w:t>
      </w:r>
      <w:r w:rsidRPr="00456A79">
        <w:rPr>
          <w:bCs/>
        </w:rPr>
        <w:t xml:space="preserve">% </w:t>
      </w:r>
      <w:r>
        <w:rPr>
          <w:bCs/>
        </w:rPr>
        <w:t xml:space="preserve">i to kod </w:t>
      </w:r>
      <w:r w:rsidRPr="00456A79">
        <w:rPr>
          <w:bCs/>
        </w:rPr>
        <w:t>nabavk</w:t>
      </w:r>
      <w:r>
        <w:rPr>
          <w:bCs/>
        </w:rPr>
        <w:t>e</w:t>
      </w:r>
      <w:r w:rsidRPr="00456A79">
        <w:rPr>
          <w:bCs/>
        </w:rPr>
        <w:t xml:space="preserve"> opreme iz vlastitih sredstava.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1843"/>
        <w:gridCol w:w="2409"/>
        <w:gridCol w:w="2552"/>
      </w:tblGrid>
      <w:tr w:rsidR="006D1960" w:rsidRPr="00456A79" w:rsidTr="00234A6B">
        <w:trPr>
          <w:trHeight w:val="50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</w:rPr>
            </w:pPr>
            <w:r w:rsidRPr="00456A79">
              <w:rPr>
                <w:b/>
                <w:bCs/>
              </w:rPr>
              <w:t>Naziv prioriteta/posebnog cilja/ mjere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</w:rPr>
            </w:pPr>
            <w:r w:rsidRPr="00456A79">
              <w:rPr>
                <w:b/>
                <w:bCs/>
              </w:rPr>
              <w:t>Planirana sredstva u proračunu Istarske županije</w:t>
            </w:r>
          </w:p>
        </w:tc>
      </w:tr>
      <w:tr w:rsidR="006D1960" w:rsidRPr="00456A79" w:rsidTr="00234A6B">
        <w:trPr>
          <w:trHeight w:val="76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Program u Proračunu IŽ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Poveznica na izvor financiranja u Proračunu IŽ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Procijenjeni trošak provedbe mjere</w:t>
            </w:r>
            <w:r w:rsidRPr="00456A79">
              <w:br/>
              <w:t>(u EUR)</w:t>
            </w:r>
          </w:p>
        </w:tc>
      </w:tr>
      <w:tr w:rsidR="006D1960" w:rsidRPr="00456A79" w:rsidTr="00234A6B">
        <w:trPr>
          <w:trHeight w:val="61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D1960" w:rsidRPr="00456A79" w:rsidRDefault="006D1960" w:rsidP="00234A6B">
            <w:pPr>
              <w:rPr>
                <w:b/>
                <w:bCs/>
              </w:rPr>
            </w:pPr>
            <w:r w:rsidRPr="00456A79">
              <w:rPr>
                <w:b/>
                <w:bCs/>
              </w:rPr>
              <w:t>2. PAMETNA REGIJA ZNANJA PREPOZNATLJIVA PO VISOKOJ KVALITETI ŽIVOTA, DOSTUPNOM OBRAZOVANJU I UKLJUČIVOSTI</w:t>
            </w:r>
          </w:p>
        </w:tc>
      </w:tr>
      <w:tr w:rsidR="006D1960" w:rsidRPr="00456A79" w:rsidTr="00234A6B">
        <w:trPr>
          <w:trHeight w:val="46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1960" w:rsidRPr="00456A79" w:rsidRDefault="006D1960" w:rsidP="00234A6B">
            <w:pPr>
              <w:rPr>
                <w:b/>
                <w:bCs/>
              </w:rPr>
            </w:pPr>
            <w:r w:rsidRPr="00456A79">
              <w:rPr>
                <w:b/>
                <w:bCs/>
              </w:rPr>
              <w:t>2.1. Osiguranje visokih standarda i dostupnosti obrazovanja</w:t>
            </w:r>
          </w:p>
        </w:tc>
      </w:tr>
      <w:tr w:rsidR="006D1960" w:rsidRPr="00456A79" w:rsidTr="00234A6B">
        <w:trPr>
          <w:trHeight w:val="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60" w:rsidRPr="00456A79" w:rsidRDefault="006D1960" w:rsidP="00234A6B">
            <w:pPr>
              <w:autoSpaceDE w:val="0"/>
              <w:autoSpaceDN w:val="0"/>
              <w:adjustRightInd w:val="0"/>
            </w:pPr>
            <w:r w:rsidRPr="00456A79">
              <w:t>2.1.1. Izgradnja,</w:t>
            </w:r>
          </w:p>
          <w:p w:rsidR="006D1960" w:rsidRPr="00456A79" w:rsidRDefault="006D1960" w:rsidP="00234A6B">
            <w:pPr>
              <w:autoSpaceDE w:val="0"/>
              <w:autoSpaceDN w:val="0"/>
              <w:adjustRightInd w:val="0"/>
            </w:pPr>
            <w:r w:rsidRPr="00456A79">
              <w:t>rekonstrukcija, dogradnja i</w:t>
            </w:r>
          </w:p>
          <w:p w:rsidR="006D1960" w:rsidRPr="00456A79" w:rsidRDefault="006D1960" w:rsidP="00234A6B">
            <w:pPr>
              <w:autoSpaceDE w:val="0"/>
              <w:autoSpaceDN w:val="0"/>
              <w:adjustRightInd w:val="0"/>
            </w:pPr>
            <w:r w:rsidRPr="00456A79">
              <w:t>opremanje predškolskih</w:t>
            </w:r>
          </w:p>
          <w:p w:rsidR="006D1960" w:rsidRPr="00456A79" w:rsidRDefault="006D1960" w:rsidP="00234A6B">
            <w:pPr>
              <w:autoSpaceDE w:val="0"/>
              <w:autoSpaceDN w:val="0"/>
              <w:adjustRightInd w:val="0"/>
            </w:pPr>
            <w:r w:rsidRPr="00456A79">
              <w:t>ustanova, osnovnih i srednjih škola, te učeničkih domova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60" w:rsidRPr="00456A79" w:rsidRDefault="006D1960" w:rsidP="00234A6B">
            <w:r w:rsidRPr="00456A79">
              <w:t>2406 Opremanje u srednjim školama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K240601; K240604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14.559,38</w:t>
            </w:r>
          </w:p>
        </w:tc>
      </w:tr>
      <w:tr w:rsidR="006D1960" w:rsidRPr="00456A79" w:rsidTr="00234A6B">
        <w:trPr>
          <w:trHeight w:val="291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D1960" w:rsidRPr="00456A79" w:rsidRDefault="006D1960" w:rsidP="00234A6B">
            <w:pPr>
              <w:jc w:val="right"/>
              <w:rPr>
                <w:b/>
                <w:bCs/>
              </w:rPr>
            </w:pPr>
            <w:r w:rsidRPr="00456A79">
              <w:rPr>
                <w:b/>
                <w:bCs/>
              </w:rPr>
              <w:t>UKUPNO: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</w:pPr>
            <w:r w:rsidRPr="00456A79">
              <w:t>14.559,38</w:t>
            </w:r>
          </w:p>
        </w:tc>
      </w:tr>
    </w:tbl>
    <w:p w:rsidR="006D1960" w:rsidRPr="00456A79" w:rsidRDefault="006D1960" w:rsidP="006D1960">
      <w:pPr>
        <w:jc w:val="both"/>
      </w:pPr>
    </w:p>
    <w:p w:rsidR="006D1960" w:rsidRDefault="006D1960" w:rsidP="006D1960">
      <w:pPr>
        <w:jc w:val="both"/>
        <w:rPr>
          <w:b/>
          <w:bCs/>
        </w:rPr>
      </w:pPr>
    </w:p>
    <w:p w:rsidR="006D1960" w:rsidRDefault="006D1960" w:rsidP="006D1960">
      <w:pPr>
        <w:jc w:val="both"/>
        <w:rPr>
          <w:b/>
          <w:bCs/>
        </w:rPr>
      </w:pPr>
    </w:p>
    <w:p w:rsidR="006D1960" w:rsidRPr="00456A79" w:rsidRDefault="006D1960" w:rsidP="006D1960">
      <w:pPr>
        <w:jc w:val="both"/>
        <w:rPr>
          <w:b/>
          <w:bCs/>
        </w:rPr>
      </w:pPr>
      <w:r w:rsidRPr="00456A79">
        <w:rPr>
          <w:b/>
          <w:bCs/>
        </w:rPr>
        <w:lastRenderedPageBreak/>
        <w:t>POKAZATELJI USPJEŠNOSTI</w:t>
      </w:r>
    </w:p>
    <w:p w:rsidR="006D1960" w:rsidRPr="00456A79" w:rsidRDefault="006D1960" w:rsidP="006D1960">
      <w:r w:rsidRPr="00456A79">
        <w:t xml:space="preserve">Temeljem godišnjeg plana i programa rada financiranje se vrši za obavljanje predviđenih aktivnosti. Praćenje uspješnosti velikog broja učenika koji završavaju ovu školu te se odmah po završetku škole zapošljavaju u struci ukazuje na kvalitetan rada naših zaposlenika kojima je omogućen i znatno olakšan rad korištenjem suvremene specijalizirane opreme. </w:t>
      </w:r>
    </w:p>
    <w:tbl>
      <w:tblPr>
        <w:tblpPr w:leftFromText="180" w:rightFromText="180" w:vertAnchor="text" w:tblpY="1"/>
        <w:tblOverlap w:val="never"/>
        <w:tblW w:w="9335" w:type="dxa"/>
        <w:tblInd w:w="93" w:type="dxa"/>
        <w:tblLook w:val="04A0" w:firstRow="1" w:lastRow="0" w:firstColumn="1" w:lastColumn="0" w:noHBand="0" w:noVBand="1"/>
      </w:tblPr>
      <w:tblGrid>
        <w:gridCol w:w="4224"/>
        <w:gridCol w:w="1353"/>
        <w:gridCol w:w="1804"/>
        <w:gridCol w:w="1954"/>
      </w:tblGrid>
      <w:tr w:rsidR="006D1960" w:rsidRPr="00456A79" w:rsidTr="00234A6B">
        <w:trPr>
          <w:trHeight w:val="969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456A79">
              <w:rPr>
                <w:b/>
                <w:bCs/>
                <w:color w:val="000000"/>
              </w:rPr>
              <w:t>Pokazatelj rezultata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456A79">
              <w:rPr>
                <w:b/>
                <w:bCs/>
                <w:color w:val="000000"/>
              </w:rPr>
              <w:t xml:space="preserve">Početna vrijednost </w:t>
            </w:r>
            <w:r>
              <w:rPr>
                <w:b/>
                <w:bCs/>
                <w:color w:val="000000"/>
              </w:rPr>
              <w:t>2024.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456A79">
              <w:rPr>
                <w:b/>
                <w:bCs/>
                <w:color w:val="000000"/>
              </w:rPr>
              <w:t>Ciljna vrijednost 202</w:t>
            </w:r>
            <w:r>
              <w:rPr>
                <w:b/>
                <w:bCs/>
                <w:color w:val="000000"/>
              </w:rPr>
              <w:t>5</w:t>
            </w:r>
            <w:r w:rsidRPr="00456A79">
              <w:rPr>
                <w:b/>
                <w:bCs/>
                <w:color w:val="000000"/>
              </w:rPr>
              <w:t>.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456A79">
              <w:rPr>
                <w:b/>
                <w:bCs/>
                <w:color w:val="000000"/>
              </w:rPr>
              <w:t>Ostvarena vrijednost</w:t>
            </w:r>
            <w:r w:rsidRPr="00456A79">
              <w:rPr>
                <w:b/>
                <w:bCs/>
                <w:color w:val="000000"/>
              </w:rPr>
              <w:br/>
              <w:t>u periodu</w:t>
            </w:r>
            <w:r w:rsidRPr="00456A79">
              <w:rPr>
                <w:b/>
                <w:bCs/>
                <w:color w:val="000000"/>
              </w:rPr>
              <w:br/>
              <w:t>01-12/202</w:t>
            </w:r>
            <w:r>
              <w:rPr>
                <w:b/>
                <w:bCs/>
                <w:color w:val="000000"/>
              </w:rPr>
              <w:t>5</w:t>
            </w:r>
          </w:p>
        </w:tc>
      </w:tr>
      <w:tr w:rsidR="006D1960" w:rsidRPr="00456A79" w:rsidTr="00234A6B">
        <w:trPr>
          <w:trHeight w:val="297"/>
        </w:trPr>
        <w:tc>
          <w:tcPr>
            <w:tcW w:w="4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  <w:r w:rsidRPr="00456A79">
              <w:rPr>
                <w:color w:val="000000"/>
              </w:rPr>
              <w:t xml:space="preserve">Broj kabineta koji za koje će se nabaviti alat za vježbe učenika </w:t>
            </w:r>
          </w:p>
        </w:tc>
        <w:tc>
          <w:tcPr>
            <w:tcW w:w="135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color w:val="000000"/>
              </w:rPr>
            </w:pPr>
            <w:r w:rsidRPr="00456A79">
              <w:rPr>
                <w:color w:val="000000"/>
              </w:rPr>
              <w:t> </w:t>
            </w:r>
            <w:r>
              <w:rPr>
                <w:color w:val="000000"/>
              </w:rPr>
              <w:t>5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D1960" w:rsidRPr="00456A79" w:rsidTr="00234A6B">
        <w:trPr>
          <w:trHeight w:val="312"/>
        </w:trPr>
        <w:tc>
          <w:tcPr>
            <w:tcW w:w="4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  <w:tc>
          <w:tcPr>
            <w:tcW w:w="135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  <w:tc>
          <w:tcPr>
            <w:tcW w:w="1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</w:p>
        </w:tc>
      </w:tr>
      <w:tr w:rsidR="006D1960" w:rsidRPr="00456A79" w:rsidTr="00234A6B">
        <w:trPr>
          <w:trHeight w:val="297"/>
        </w:trPr>
        <w:tc>
          <w:tcPr>
            <w:tcW w:w="4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</w:rPr>
            </w:pPr>
            <w:r w:rsidRPr="00456A79">
              <w:rPr>
                <w:color w:val="000000"/>
              </w:rPr>
              <w:t>Broj učionica i kabineta za koje će se nabaviti uredska oprema i namještaj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color w:val="000000"/>
              </w:rPr>
            </w:pPr>
            <w:r w:rsidRPr="00456A79">
              <w:rPr>
                <w:color w:val="000000"/>
              </w:rPr>
              <w:t>6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456A79" w:rsidRDefault="006D1960" w:rsidP="00234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6D1960" w:rsidRPr="00456A79" w:rsidRDefault="006D1960" w:rsidP="006D1960"/>
    <w:p w:rsidR="006D1960" w:rsidRPr="00456A79" w:rsidRDefault="006D1960" w:rsidP="006D1960">
      <w:pPr>
        <w:numPr>
          <w:ilvl w:val="0"/>
          <w:numId w:val="2"/>
        </w:numPr>
        <w:spacing w:after="160"/>
        <w:rPr>
          <w:rFonts w:eastAsia="Calibri"/>
          <w:color w:val="000000"/>
          <w:lang w:eastAsia="en-US"/>
        </w:rPr>
      </w:pPr>
      <w:r w:rsidRPr="00456A79">
        <w:rPr>
          <w:rFonts w:eastAsia="Calibri"/>
          <w:b/>
          <w:color w:val="000000"/>
          <w:lang w:eastAsia="en-US"/>
        </w:rPr>
        <w:t>PROGRAM 9213: EU PROJEKTI U ŠKOLSTVU</w:t>
      </w:r>
    </w:p>
    <w:p w:rsidR="006D1960" w:rsidRDefault="006D1960" w:rsidP="006D1960">
      <w:r w:rsidRPr="00456A79">
        <w:t xml:space="preserve">Ovaj program obuhvaća aktivnost kojom se omogućava povećanje materijalnog standarda učenika i zaposlenika te stjecanje novih iskustava kroz sudjelovanje u EU projektima. </w:t>
      </w:r>
    </w:p>
    <w:p w:rsidR="006D1960" w:rsidRPr="00456A79" w:rsidRDefault="006D1960" w:rsidP="006D1960"/>
    <w:p w:rsidR="006D1960" w:rsidRPr="00456A79" w:rsidRDefault="006D1960" w:rsidP="006D1960">
      <w:pPr>
        <w:rPr>
          <w:b/>
        </w:rPr>
      </w:pPr>
      <w:r>
        <w:rPr>
          <w:b/>
        </w:rPr>
        <w:t>5</w:t>
      </w:r>
      <w:r w:rsidRPr="00456A79">
        <w:rPr>
          <w:b/>
        </w:rPr>
        <w:t xml:space="preserve">.2. </w:t>
      </w:r>
      <w:r w:rsidRPr="00456A79">
        <w:rPr>
          <w:b/>
        </w:rPr>
        <w:tab/>
        <w:t>T921307 GENE HAAS</w:t>
      </w:r>
    </w:p>
    <w:p w:rsidR="006D1960" w:rsidRPr="00456A79" w:rsidRDefault="006D1960" w:rsidP="006D1960">
      <w:pPr>
        <w:spacing w:before="120"/>
      </w:pPr>
      <w:r w:rsidRPr="00456A79">
        <w:t>Naša škola se u više navrata prijavila na natječaj objavljen od strane Gene Haas Foundation te smo dobili potporu za nabavku opreme za praktičnu obuku u radu CNC operatera. Navedena sredstva koja smo dobili utrošiti ćemo u narednom obračunskom razdoblju.</w:t>
      </w:r>
    </w:p>
    <w:p w:rsidR="006D1960" w:rsidRDefault="006D1960" w:rsidP="006D1960">
      <w:pPr>
        <w:rPr>
          <w:b/>
        </w:rPr>
      </w:pPr>
    </w:p>
    <w:p w:rsidR="006D1960" w:rsidRPr="00E7668E" w:rsidRDefault="006D1960" w:rsidP="006D1960">
      <w:pPr>
        <w:jc w:val="both"/>
        <w:rPr>
          <w:b/>
          <w:bCs/>
        </w:rPr>
      </w:pPr>
      <w:r w:rsidRPr="00E7668E">
        <w:rPr>
          <w:b/>
          <w:bCs/>
        </w:rPr>
        <w:t xml:space="preserve">CILJ USPJEŠNOSTI </w:t>
      </w:r>
    </w:p>
    <w:p w:rsidR="006D1960" w:rsidRPr="00E7668E" w:rsidRDefault="006D1960" w:rsidP="006D1960">
      <w:pPr>
        <w:autoSpaceDE w:val="0"/>
        <w:autoSpaceDN w:val="0"/>
        <w:adjustRightInd w:val="0"/>
      </w:pPr>
      <w:r w:rsidRPr="00E7668E">
        <w:rPr>
          <w:bCs/>
        </w:rPr>
        <w:t xml:space="preserve">Usklađeno s Provedbenim programom Istarske županije 2022.-2025. godine, šifra mjere </w:t>
      </w:r>
      <w:r w:rsidRPr="00E7668E">
        <w:t>2.1.8. (Osiguranje kvalitetnog odgojno obrazovnog kadra i suradnje ključnih aktera) iz Provedbenog programa Istarske županije 2022.-2025. Cilj je ostvaren. Učenici i nastavnici su uspješno sudjelovali u projektu Erasmus+. Omogućena je razmjena iskustva i znanja.</w:t>
      </w:r>
    </w:p>
    <w:p w:rsidR="006D1960" w:rsidRPr="00E7668E" w:rsidRDefault="006D1960" w:rsidP="006D1960">
      <w:pPr>
        <w:jc w:val="both"/>
      </w:pPr>
      <w:r w:rsidRPr="00E7668E">
        <w:t xml:space="preserve">Pokazatelji uspješnosti: Povećane su profesionalne vještine učenika i nastavnika putem razmjene iskustava, usporedbe postojećeg znanja i praktične nastave. </w:t>
      </w:r>
    </w:p>
    <w:tbl>
      <w:tblPr>
        <w:tblpPr w:leftFromText="180" w:rightFromText="180" w:vertAnchor="text" w:tblpY="1"/>
        <w:tblOverlap w:val="never"/>
        <w:tblW w:w="9485" w:type="dxa"/>
        <w:tblInd w:w="93" w:type="dxa"/>
        <w:tblLook w:val="04A0" w:firstRow="1" w:lastRow="0" w:firstColumn="1" w:lastColumn="0" w:noHBand="0" w:noVBand="1"/>
      </w:tblPr>
      <w:tblGrid>
        <w:gridCol w:w="4224"/>
        <w:gridCol w:w="1503"/>
        <w:gridCol w:w="1804"/>
        <w:gridCol w:w="1954"/>
      </w:tblGrid>
      <w:tr w:rsidR="006D1960" w:rsidRPr="00E7668E" w:rsidTr="00234A6B">
        <w:trPr>
          <w:trHeight w:val="1085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E7668E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E7668E">
              <w:rPr>
                <w:b/>
                <w:bCs/>
                <w:color w:val="000000"/>
              </w:rPr>
              <w:t>Pokazatelj rezultata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E7668E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E7668E">
              <w:rPr>
                <w:b/>
                <w:bCs/>
                <w:color w:val="000000"/>
              </w:rPr>
              <w:t>Početna vrijednost (godina)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E7668E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E7668E">
              <w:rPr>
                <w:b/>
                <w:bCs/>
                <w:color w:val="000000"/>
              </w:rPr>
              <w:t>Ciljna vrijednost 2024.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6D1960" w:rsidRPr="00E7668E" w:rsidRDefault="006D1960" w:rsidP="00234A6B">
            <w:pPr>
              <w:jc w:val="center"/>
              <w:rPr>
                <w:b/>
                <w:bCs/>
                <w:color w:val="000000"/>
              </w:rPr>
            </w:pPr>
            <w:r w:rsidRPr="00E7668E">
              <w:rPr>
                <w:b/>
                <w:bCs/>
                <w:color w:val="000000"/>
              </w:rPr>
              <w:t>Ostvarena vrijednost</w:t>
            </w:r>
            <w:r w:rsidRPr="00E7668E">
              <w:rPr>
                <w:b/>
                <w:bCs/>
                <w:color w:val="000000"/>
              </w:rPr>
              <w:br/>
              <w:t>u periodu</w:t>
            </w:r>
            <w:r w:rsidRPr="00E7668E">
              <w:rPr>
                <w:b/>
                <w:bCs/>
                <w:color w:val="000000"/>
              </w:rPr>
              <w:br/>
              <w:t>01-12/2024</w:t>
            </w:r>
          </w:p>
        </w:tc>
      </w:tr>
      <w:tr w:rsidR="006D1960" w:rsidRPr="00E7668E" w:rsidTr="00234A6B">
        <w:trPr>
          <w:trHeight w:val="297"/>
        </w:trPr>
        <w:tc>
          <w:tcPr>
            <w:tcW w:w="4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E7668E" w:rsidRDefault="006D1960" w:rsidP="00234A6B">
            <w:pPr>
              <w:rPr>
                <w:color w:val="000000"/>
              </w:rPr>
            </w:pPr>
            <w:r w:rsidRPr="00E7668E">
              <w:rPr>
                <w:bCs/>
                <w:color w:val="000000"/>
              </w:rPr>
              <w:t>Provedba edukacija odgojno-obrazovnih djelatnika za stjecanje novih vještina i kompetencija</w:t>
            </w:r>
          </w:p>
        </w:tc>
        <w:tc>
          <w:tcPr>
            <w:tcW w:w="150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E7668E" w:rsidRDefault="006D1960" w:rsidP="00234A6B">
            <w:pPr>
              <w:jc w:val="center"/>
              <w:rPr>
                <w:color w:val="000000"/>
              </w:rPr>
            </w:pPr>
            <w:r w:rsidRPr="00E7668E">
              <w:rPr>
                <w:color w:val="000000"/>
              </w:rPr>
              <w:t> kontinuirano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E7668E" w:rsidRDefault="006D1960" w:rsidP="00234A6B">
            <w:pPr>
              <w:jc w:val="center"/>
              <w:rPr>
                <w:color w:val="000000"/>
              </w:rPr>
            </w:pPr>
            <w:r w:rsidRPr="00E7668E">
              <w:rPr>
                <w:color w:val="000000"/>
              </w:rPr>
              <w:t>kontinuirano</w:t>
            </w:r>
          </w:p>
        </w:tc>
        <w:tc>
          <w:tcPr>
            <w:tcW w:w="1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1960" w:rsidRPr="00E7668E" w:rsidRDefault="006D1960" w:rsidP="00234A6B">
            <w:pPr>
              <w:jc w:val="center"/>
              <w:rPr>
                <w:color w:val="000000"/>
              </w:rPr>
            </w:pPr>
            <w:r w:rsidRPr="00E7668E">
              <w:rPr>
                <w:color w:val="000000"/>
              </w:rPr>
              <w:t>kontinuirano</w:t>
            </w:r>
          </w:p>
        </w:tc>
      </w:tr>
      <w:tr w:rsidR="006D1960" w:rsidRPr="00456A79" w:rsidTr="00234A6B">
        <w:trPr>
          <w:trHeight w:val="312"/>
        </w:trPr>
        <w:tc>
          <w:tcPr>
            <w:tcW w:w="4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1960" w:rsidRPr="00456A79" w:rsidRDefault="006D1960" w:rsidP="00234A6B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D1960" w:rsidRDefault="006D1960" w:rsidP="006D1960">
      <w:pPr>
        <w:spacing w:after="160"/>
        <w:rPr>
          <w:rFonts w:eastAsia="Calibri"/>
          <w:b/>
          <w:color w:val="000000"/>
          <w:lang w:eastAsia="en-US"/>
        </w:rPr>
      </w:pPr>
    </w:p>
    <w:p w:rsidR="006D1960" w:rsidRPr="00537F74" w:rsidRDefault="006D1960" w:rsidP="006D1960">
      <w:pPr>
        <w:pStyle w:val="Odlomakpopisa"/>
        <w:numPr>
          <w:ilvl w:val="0"/>
          <w:numId w:val="2"/>
        </w:numPr>
        <w:spacing w:after="160"/>
        <w:rPr>
          <w:rFonts w:eastAsia="Calibri"/>
          <w:color w:val="000000"/>
          <w:lang w:eastAsia="en-US"/>
        </w:rPr>
      </w:pPr>
      <w:r w:rsidRPr="00537F74">
        <w:rPr>
          <w:rFonts w:eastAsia="Calibri"/>
          <w:b/>
          <w:color w:val="000000"/>
          <w:lang w:eastAsia="en-US"/>
        </w:rPr>
        <w:t>PROGRAM 9220: MOZAIK 7</w:t>
      </w:r>
    </w:p>
    <w:p w:rsidR="006D1960" w:rsidRPr="00537F74" w:rsidRDefault="006D1960" w:rsidP="006D1960">
      <w:r>
        <w:t>Ovim programom o</w:t>
      </w:r>
      <w:r w:rsidRPr="00537F74">
        <w:t>siguravaj</w:t>
      </w:r>
      <w:r>
        <w:t xml:space="preserve">u se </w:t>
      </w:r>
      <w:r w:rsidRPr="00537F74">
        <w:t>pomoćni</w:t>
      </w:r>
      <w:r>
        <w:t>ci</w:t>
      </w:r>
      <w:r w:rsidRPr="00537F74">
        <w:t xml:space="preserve"> u nastavi i stručni komunikacijski posredni</w:t>
      </w:r>
      <w:r>
        <w:t>ci</w:t>
      </w:r>
      <w:r w:rsidRPr="00537F74">
        <w:t xml:space="preserve"> učenicima s teškoćama u razvoju u osnovnoškolskim i srednjoškolskim odgojno-obrazovnim ustanovama - faza VII</w:t>
      </w:r>
      <w:r>
        <w:t xml:space="preserve">. </w:t>
      </w:r>
      <w:r w:rsidRPr="00537F74">
        <w:t>Projekt se provodi u okviru Operativnog programa Učinkoviti ljudski potencijali 2021.- 2027., a sufinancira ga Europska unija iz Europskog socijalnog fonda plus.</w:t>
      </w:r>
    </w:p>
    <w:p w:rsidR="006D1960" w:rsidRPr="00456A79" w:rsidRDefault="006D1960" w:rsidP="006D1960"/>
    <w:p w:rsidR="006D1960" w:rsidRDefault="006D1960" w:rsidP="006D1960">
      <w:pPr>
        <w:rPr>
          <w:b/>
        </w:rPr>
      </w:pPr>
    </w:p>
    <w:p w:rsidR="006D1960" w:rsidRDefault="006D1960" w:rsidP="006D1960">
      <w:pPr>
        <w:rPr>
          <w:b/>
        </w:rPr>
      </w:pPr>
    </w:p>
    <w:p w:rsidR="006D1960" w:rsidRDefault="006D1960" w:rsidP="006D1960">
      <w:pPr>
        <w:rPr>
          <w:b/>
        </w:rPr>
      </w:pPr>
    </w:p>
    <w:p w:rsidR="006D1960" w:rsidRDefault="006D1960" w:rsidP="006D1960">
      <w:pPr>
        <w:rPr>
          <w:b/>
        </w:rPr>
      </w:pPr>
      <w:r w:rsidRPr="00456A79">
        <w:rPr>
          <w:b/>
        </w:rPr>
        <w:lastRenderedPageBreak/>
        <w:t>6.</w:t>
      </w:r>
      <w:r>
        <w:rPr>
          <w:b/>
        </w:rPr>
        <w:t>1</w:t>
      </w:r>
      <w:r w:rsidRPr="00456A79">
        <w:rPr>
          <w:b/>
        </w:rPr>
        <w:t xml:space="preserve">. </w:t>
      </w:r>
      <w:r w:rsidRPr="00456A79">
        <w:rPr>
          <w:b/>
        </w:rPr>
        <w:tab/>
        <w:t xml:space="preserve">T921307 </w:t>
      </w:r>
      <w:r>
        <w:rPr>
          <w:b/>
        </w:rPr>
        <w:t xml:space="preserve">PROVEDBA PROJEKTA </w:t>
      </w:r>
      <w:r w:rsidRPr="00537F74">
        <w:rPr>
          <w:rFonts w:eastAsia="Calibri"/>
          <w:b/>
          <w:color w:val="000000"/>
          <w:lang w:eastAsia="en-US"/>
        </w:rPr>
        <w:t>MOZAIK 7</w:t>
      </w:r>
    </w:p>
    <w:p w:rsidR="006D1960" w:rsidRPr="00456A79" w:rsidRDefault="006D1960" w:rsidP="006D1960">
      <w:pPr>
        <w:rPr>
          <w:b/>
        </w:rPr>
      </w:pPr>
    </w:p>
    <w:p w:rsidR="006D1960" w:rsidRDefault="006D1960" w:rsidP="006D1960">
      <w:r>
        <w:t>Od školske godine 2025./2026. imamo</w:t>
      </w:r>
      <w:r w:rsidRPr="00537F74">
        <w:t xml:space="preserve"> </w:t>
      </w:r>
      <w:r>
        <w:t xml:space="preserve">jednog </w:t>
      </w:r>
      <w:r w:rsidRPr="00537F74">
        <w:t>učenik</w:t>
      </w:r>
      <w:r>
        <w:t>a</w:t>
      </w:r>
      <w:r w:rsidRPr="00537F74">
        <w:t xml:space="preserve"> s teškoćama u razvoju </w:t>
      </w:r>
      <w:r>
        <w:t xml:space="preserve">koji ima </w:t>
      </w:r>
      <w:r w:rsidRPr="00537F74">
        <w:t>pravo na potporu stručno komunikacijskog posrednika</w:t>
      </w:r>
      <w:r>
        <w:t xml:space="preserve"> koji mu pruža neposrednu potporu</w:t>
      </w:r>
      <w:r w:rsidRPr="00537F74">
        <w:t xml:space="preserve"> tijekom odgojno-obrazovnog procesa. </w:t>
      </w:r>
      <w:r>
        <w:t>Ovaj projekt se financira većim dijelom iz Programa unija a manjim dijelom iz Nenamjenskih prihoda i primitaka Istarske županije.</w:t>
      </w:r>
    </w:p>
    <w:p w:rsidR="006D1960" w:rsidRDefault="006D1960" w:rsidP="006D1960">
      <w:pPr>
        <w:rPr>
          <w:rFonts w:eastAsia="Calibri"/>
          <w:b/>
          <w:lang w:eastAsia="en-US"/>
        </w:rPr>
      </w:pPr>
    </w:p>
    <w:p w:rsidR="006D1960" w:rsidRPr="00B661CB" w:rsidRDefault="006D1960" w:rsidP="006D1960">
      <w:pPr>
        <w:rPr>
          <w:rFonts w:eastAsia="Calibri"/>
          <w:b/>
          <w:lang w:eastAsia="en-US"/>
        </w:rPr>
      </w:pPr>
      <w:r w:rsidRPr="00B661CB">
        <w:rPr>
          <w:rFonts w:eastAsia="Calibri"/>
          <w:b/>
          <w:lang w:eastAsia="en-US"/>
        </w:rPr>
        <w:t xml:space="preserve">POSEBNI IZVJEŠTAJI </w:t>
      </w:r>
    </w:p>
    <w:p w:rsidR="006D1960" w:rsidRDefault="006D1960" w:rsidP="006D1960">
      <w:pPr>
        <w:jc w:val="both"/>
        <w:rPr>
          <w:sz w:val="22"/>
          <w:szCs w:val="22"/>
        </w:rPr>
      </w:pPr>
    </w:p>
    <w:p w:rsidR="006D1960" w:rsidRDefault="006D1960" w:rsidP="006D196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Izvještaj o stanju potraživanja i dospjelih obveza</w:t>
      </w:r>
    </w:p>
    <w:p w:rsidR="006D1960" w:rsidRDefault="006D1960" w:rsidP="006D1960">
      <w:pPr>
        <w:rPr>
          <w:rFonts w:eastAsia="Calibri"/>
          <w:b/>
          <w:lang w:eastAsia="en-US"/>
        </w:rPr>
      </w:pPr>
    </w:p>
    <w:p w:rsidR="006D1960" w:rsidRDefault="006D1960" w:rsidP="006D196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Industrijsko-obrtnička škola Pula na dan 31.12.2025. godine ima potraživanja za prihode poslovanja u ukupnom iznosu od 190.869,59 eura a sastoje se od potraživanja prema MZOM-u za plaće i ostale rashode za zaposlene za 12/2025. (90.277,91 eura), za prihode od pružanja usluga polaznicima u obrazovanju odraslih te iznajmljivanja prostorije škole (33.417,99 eura), za pristojbe po posebnim propisima (10,00 eura) te za novčana sredstva koja se, zbog uvođenja lokalne riznice, nalaze na jedinstvenom žiro-računu Istarske županije (67.163,69 eura).</w:t>
      </w:r>
    </w:p>
    <w:p w:rsidR="006D1960" w:rsidRDefault="006D1960" w:rsidP="006D1960">
      <w:pPr>
        <w:rPr>
          <w:rFonts w:eastAsia="Calibri"/>
          <w:lang w:eastAsia="en-US"/>
        </w:rPr>
      </w:pPr>
    </w:p>
    <w:p w:rsidR="006D1960" w:rsidRPr="0082207E" w:rsidRDefault="006D1960" w:rsidP="006D1960">
      <w:pPr>
        <w:rPr>
          <w:b/>
          <w:noProof/>
        </w:rPr>
      </w:pPr>
      <w:r w:rsidRPr="00BE65A7">
        <w:rPr>
          <w:rFonts w:eastAsia="Calibri"/>
          <w:lang w:eastAsia="en-US"/>
        </w:rPr>
        <w:t>Obveze</w:t>
      </w:r>
      <w:r>
        <w:rPr>
          <w:rFonts w:eastAsia="Calibri"/>
          <w:lang w:eastAsia="en-US"/>
        </w:rPr>
        <w:t xml:space="preserve"> na dan 31.12.2025. godine iznose 113.856,45 eura od čega nedospjele obveze iznose 109.514,31 eura. Razliku od 4.342,14 eura odnose se na dospjele obveze kojima je </w:t>
      </w:r>
      <w:r w:rsidRPr="0082207E">
        <w:rPr>
          <w:bCs/>
          <w:noProof/>
        </w:rPr>
        <w:t xml:space="preserve">prekoračenje </w:t>
      </w:r>
      <w:r>
        <w:rPr>
          <w:bCs/>
          <w:noProof/>
        </w:rPr>
        <w:t xml:space="preserve">od 1 </w:t>
      </w:r>
      <w:r w:rsidRPr="0082207E">
        <w:rPr>
          <w:bCs/>
          <w:noProof/>
        </w:rPr>
        <w:t>do 60 dana</w:t>
      </w:r>
      <w:r>
        <w:rPr>
          <w:bCs/>
          <w:noProof/>
        </w:rPr>
        <w:t xml:space="preserve"> a</w:t>
      </w:r>
      <w:r w:rsidRPr="0082207E">
        <w:rPr>
          <w:bCs/>
          <w:noProof/>
        </w:rPr>
        <w:t xml:space="preserve"> odnose se na materijalne rashode (</w:t>
      </w:r>
      <w:r>
        <w:rPr>
          <w:bCs/>
          <w:noProof/>
        </w:rPr>
        <w:t>1.954</w:t>
      </w:r>
      <w:r w:rsidRPr="0082207E">
        <w:rPr>
          <w:bCs/>
          <w:noProof/>
        </w:rPr>
        <w:t>,</w:t>
      </w:r>
      <w:r>
        <w:rPr>
          <w:bCs/>
          <w:noProof/>
        </w:rPr>
        <w:t>88 eura</w:t>
      </w:r>
      <w:r w:rsidRPr="0082207E">
        <w:rPr>
          <w:bCs/>
          <w:noProof/>
        </w:rPr>
        <w:t>) i na obveze za nabavu nefinancijske imovine (</w:t>
      </w:r>
      <w:r>
        <w:rPr>
          <w:bCs/>
          <w:noProof/>
        </w:rPr>
        <w:t>2.377,26 eura</w:t>
      </w:r>
      <w:r w:rsidRPr="0082207E">
        <w:rPr>
          <w:bCs/>
          <w:noProof/>
        </w:rPr>
        <w:t>)</w:t>
      </w:r>
      <w:r>
        <w:rPr>
          <w:bCs/>
          <w:noProof/>
        </w:rPr>
        <w:t>. R</w:t>
      </w:r>
      <w:r w:rsidRPr="0082207E">
        <w:rPr>
          <w:bCs/>
          <w:noProof/>
        </w:rPr>
        <w:t>azlog</w:t>
      </w:r>
      <w:r>
        <w:rPr>
          <w:bCs/>
          <w:noProof/>
        </w:rPr>
        <w:t xml:space="preserve"> nepodmirenju ovih obveza </w:t>
      </w:r>
      <w:r w:rsidRPr="0082207E">
        <w:rPr>
          <w:bCs/>
          <w:noProof/>
        </w:rPr>
        <w:t xml:space="preserve">je </w:t>
      </w:r>
      <w:r>
        <w:rPr>
          <w:bCs/>
          <w:noProof/>
        </w:rPr>
        <w:t>zbog tehničkih poteškoća kojih smo imali krajem godine u radu novog računalnog programa kojim smo povezani sa Istarskom županijom.</w:t>
      </w:r>
    </w:p>
    <w:p w:rsidR="006D1960" w:rsidRDefault="006D1960" w:rsidP="006D1960">
      <w:pPr>
        <w:rPr>
          <w:rFonts w:eastAsia="Calibri"/>
          <w:lang w:eastAsia="en-US"/>
        </w:rPr>
      </w:pPr>
    </w:p>
    <w:p w:rsidR="006D1960" w:rsidRDefault="006D1960" w:rsidP="006D196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Za</w:t>
      </w:r>
      <w:r w:rsidRPr="004A2F2E">
        <w:rPr>
          <w:rFonts w:eastAsia="Calibri"/>
          <w:lang w:eastAsia="en-US"/>
        </w:rPr>
        <w:t xml:space="preserve"> Izvještaj o zaduživanju na domaćem i stranom tržištu novaca i kapitala,</w:t>
      </w:r>
      <w:r>
        <w:rPr>
          <w:rFonts w:eastAsia="Calibri"/>
          <w:lang w:eastAsia="en-US"/>
        </w:rPr>
        <w:t xml:space="preserve"> Izvještaj o danim zajmovima i potraživanja po danim zajmovima te Izvještaj o stanju potencijalnih obveza po osnovi sudskih sporova nisu navedeni podaci jer ih u protekloj godini nismo niti imali.</w:t>
      </w:r>
    </w:p>
    <w:p w:rsidR="006D1960" w:rsidRDefault="006D1960" w:rsidP="006D1960">
      <w:pPr>
        <w:rPr>
          <w:rFonts w:eastAsia="Calibri"/>
          <w:lang w:eastAsia="en-US"/>
        </w:rPr>
      </w:pPr>
    </w:p>
    <w:p w:rsidR="006D1960" w:rsidRDefault="006D1960" w:rsidP="006D1960">
      <w:pPr>
        <w:rPr>
          <w:rFonts w:eastAsia="Calibri"/>
          <w:lang w:eastAsia="en-US"/>
        </w:rPr>
      </w:pPr>
    </w:p>
    <w:p w:rsidR="006D1960" w:rsidRDefault="006D1960" w:rsidP="006D1960">
      <w:pPr>
        <w:rPr>
          <w:rFonts w:eastAsia="Calibri"/>
          <w:lang w:eastAsia="en-US"/>
        </w:rPr>
      </w:pPr>
    </w:p>
    <w:p w:rsidR="006D1960" w:rsidRDefault="006D1960" w:rsidP="006D196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Ravnatelj</w:t>
      </w:r>
    </w:p>
    <w:p w:rsidR="006D1960" w:rsidRPr="004A2F2E" w:rsidRDefault="006D1960" w:rsidP="006D196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Dragan Radovanović, dipl.ing. </w:t>
      </w:r>
      <w:r w:rsidRPr="004A2F2E">
        <w:rPr>
          <w:rFonts w:eastAsia="Calibri"/>
          <w:lang w:eastAsia="en-US"/>
        </w:rPr>
        <w:t xml:space="preserve"> </w:t>
      </w:r>
    </w:p>
    <w:p w:rsidR="0077052E" w:rsidRDefault="0077052E" w:rsidP="00E75220">
      <w:pPr>
        <w:rPr>
          <w:rFonts w:eastAsia="Calibri"/>
          <w:b/>
          <w:lang w:eastAsia="en-US"/>
        </w:rPr>
      </w:pPr>
    </w:p>
    <w:p w:rsidR="006D1960" w:rsidRDefault="006D1960" w:rsidP="00E75220">
      <w:pPr>
        <w:rPr>
          <w:rFonts w:eastAsia="Calibri"/>
          <w:b/>
          <w:lang w:eastAsia="en-US"/>
        </w:rPr>
      </w:pPr>
    </w:p>
    <w:p w:rsidR="006D1960" w:rsidRDefault="006D1960" w:rsidP="00E75220">
      <w:pPr>
        <w:rPr>
          <w:rFonts w:eastAsia="Calibri"/>
          <w:b/>
          <w:lang w:eastAsia="en-US"/>
        </w:rPr>
      </w:pPr>
    </w:p>
    <w:p w:rsidR="006D1960" w:rsidRDefault="006D1960" w:rsidP="00E75220">
      <w:pPr>
        <w:rPr>
          <w:rFonts w:eastAsia="Calibri"/>
          <w:b/>
          <w:lang w:eastAsia="en-US"/>
        </w:rPr>
      </w:pPr>
    </w:p>
    <w:p w:rsidR="00E75220" w:rsidRPr="00B661CB" w:rsidRDefault="00E75220" w:rsidP="00E75220">
      <w:pPr>
        <w:rPr>
          <w:rFonts w:eastAsia="Calibri"/>
          <w:b/>
          <w:lang w:eastAsia="en-US"/>
        </w:rPr>
      </w:pPr>
    </w:p>
    <w:sectPr w:rsidR="00E75220" w:rsidRPr="00B66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338B8"/>
    <w:multiLevelType w:val="hybridMultilevel"/>
    <w:tmpl w:val="FF24BA98"/>
    <w:lvl w:ilvl="0" w:tplc="CD9EDC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43E9E"/>
    <w:multiLevelType w:val="hybridMultilevel"/>
    <w:tmpl w:val="D4F0891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A8669D"/>
    <w:multiLevelType w:val="multilevel"/>
    <w:tmpl w:val="AF248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D6"/>
    <w:rsid w:val="00074A8C"/>
    <w:rsid w:val="00097587"/>
    <w:rsid w:val="000D6FB7"/>
    <w:rsid w:val="002D0647"/>
    <w:rsid w:val="00342187"/>
    <w:rsid w:val="00430281"/>
    <w:rsid w:val="004803EC"/>
    <w:rsid w:val="004E3050"/>
    <w:rsid w:val="005462FB"/>
    <w:rsid w:val="005715C7"/>
    <w:rsid w:val="00571C70"/>
    <w:rsid w:val="006171B8"/>
    <w:rsid w:val="00642918"/>
    <w:rsid w:val="00661916"/>
    <w:rsid w:val="00663DBE"/>
    <w:rsid w:val="006A2797"/>
    <w:rsid w:val="006D1960"/>
    <w:rsid w:val="00722042"/>
    <w:rsid w:val="00723E85"/>
    <w:rsid w:val="007476D9"/>
    <w:rsid w:val="0077052E"/>
    <w:rsid w:val="0078348B"/>
    <w:rsid w:val="007D4F90"/>
    <w:rsid w:val="007F23A3"/>
    <w:rsid w:val="00842AD6"/>
    <w:rsid w:val="0085577D"/>
    <w:rsid w:val="00865F54"/>
    <w:rsid w:val="008B36CA"/>
    <w:rsid w:val="0094641C"/>
    <w:rsid w:val="009A6B17"/>
    <w:rsid w:val="009C0015"/>
    <w:rsid w:val="009E4D89"/>
    <w:rsid w:val="00A31604"/>
    <w:rsid w:val="00B169E8"/>
    <w:rsid w:val="00B17815"/>
    <w:rsid w:val="00B661CB"/>
    <w:rsid w:val="00BB1673"/>
    <w:rsid w:val="00D03149"/>
    <w:rsid w:val="00D144EE"/>
    <w:rsid w:val="00D554AF"/>
    <w:rsid w:val="00D73AED"/>
    <w:rsid w:val="00DC06BF"/>
    <w:rsid w:val="00E720C6"/>
    <w:rsid w:val="00E75220"/>
    <w:rsid w:val="00EB735A"/>
    <w:rsid w:val="00ED3C63"/>
    <w:rsid w:val="00F6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E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nhideWhenUsed/>
    <w:rsid w:val="00D144EE"/>
    <w:pPr>
      <w:overflowPunct w:val="0"/>
      <w:autoSpaceDE w:val="0"/>
      <w:autoSpaceDN w:val="0"/>
      <w:adjustRightInd w:val="0"/>
      <w:ind w:firstLine="720"/>
      <w:jc w:val="both"/>
    </w:pPr>
    <w:rPr>
      <w:szCs w:val="20"/>
      <w:lang w:val="en-GB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D144E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3">
    <w:name w:val="Body Text 3"/>
    <w:basedOn w:val="Normal"/>
    <w:link w:val="Tijeloteksta3Char"/>
    <w:rsid w:val="007476D9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7476D9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3A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3AED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E72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E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nhideWhenUsed/>
    <w:rsid w:val="00D144EE"/>
    <w:pPr>
      <w:overflowPunct w:val="0"/>
      <w:autoSpaceDE w:val="0"/>
      <w:autoSpaceDN w:val="0"/>
      <w:adjustRightInd w:val="0"/>
      <w:ind w:firstLine="720"/>
      <w:jc w:val="both"/>
    </w:pPr>
    <w:rPr>
      <w:szCs w:val="20"/>
      <w:lang w:val="en-GB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D144E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3">
    <w:name w:val="Body Text 3"/>
    <w:basedOn w:val="Normal"/>
    <w:link w:val="Tijeloteksta3Char"/>
    <w:rsid w:val="007476D9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7476D9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3A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3AED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E72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ABDA.9F68EBB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4B3D-C3D2-40C8-8B20-0F3AA9CB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3581</Words>
  <Characters>20415</Characters>
  <Application>Microsoft Office Word</Application>
  <DocSecurity>0</DocSecurity>
  <Lines>170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Nevenka</cp:lastModifiedBy>
  <cp:revision>5</cp:revision>
  <cp:lastPrinted>2026-03-31T12:10:00Z</cp:lastPrinted>
  <dcterms:created xsi:type="dcterms:W3CDTF">2026-03-27T11:41:00Z</dcterms:created>
  <dcterms:modified xsi:type="dcterms:W3CDTF">2026-03-31T12:11:00Z</dcterms:modified>
</cp:coreProperties>
</file>